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D8" w:rsidRPr="00E953B9" w:rsidRDefault="000958D8" w:rsidP="00E953B9">
      <w:pPr>
        <w:jc w:val="center"/>
        <w:rPr>
          <w:b/>
          <w:sz w:val="24"/>
        </w:rPr>
      </w:pPr>
      <w:bookmarkStart w:id="0" w:name="_GoBack"/>
      <w:bookmarkEnd w:id="0"/>
      <w:r w:rsidRPr="00E953B9">
        <w:rPr>
          <w:b/>
          <w:sz w:val="24"/>
        </w:rPr>
        <w:t>Policy on Changes to Approved Animal Use Protocols</w:t>
      </w:r>
    </w:p>
    <w:p w:rsidR="000958D8" w:rsidRDefault="000958D8" w:rsidP="00E953B9">
      <w:pPr>
        <w:jc w:val="center"/>
      </w:pPr>
      <w:r>
        <w:t xml:space="preserve">Approved </w:t>
      </w:r>
      <w:r w:rsidR="009831C5">
        <w:t>10.01.2015</w:t>
      </w:r>
    </w:p>
    <w:p w:rsidR="000958D8" w:rsidRDefault="000958D8" w:rsidP="000958D8">
      <w:r>
        <w:t>The</w:t>
      </w:r>
      <w:r w:rsidR="00E953B9">
        <w:t xml:space="preserve"> Public Health Service Policy on Humane Care and Use of Laboratory Animals (Policy IV.C.1) and the  Animal Welfare Regulations (9</w:t>
      </w:r>
      <w:r>
        <w:t xml:space="preserve"> CFR</w:t>
      </w:r>
      <w:r w:rsidR="00E953B9">
        <w:t xml:space="preserve"> 2.31</w:t>
      </w:r>
      <w:r>
        <w:t>) require that the Institutional Animal Care and Use Committee (IACUC) or designees review and approve any proposed change to an animal use protocol.  A proposed modification to a protocol at California State University, Los Angeles may not be initiated until notification of IACUC approval has been received.</w:t>
      </w:r>
    </w:p>
    <w:p w:rsidR="000958D8" w:rsidRPr="00E953B9" w:rsidRDefault="000958D8" w:rsidP="000958D8">
      <w:pPr>
        <w:rPr>
          <w:sz w:val="20"/>
        </w:rPr>
      </w:pPr>
      <w:r>
        <w:t>Investigators who wish to propose a modification to a currently active protocol should submit a request using the most recent version of either Form A for major changes or Form B for minor changes, as appropriate (see below).The requested modification must fit within the objectives, purpose, or aims stated in the original protocol. If this requirement is not met, then the IACUC will require submission of a new protocol. After completeness of a modification request is verified, the modification is scheduled for the appropriate review based on the review criteria outlined below.</w:t>
      </w:r>
    </w:p>
    <w:tbl>
      <w:tblPr>
        <w:tblStyle w:val="TableGrid"/>
        <w:tblW w:w="9877" w:type="dxa"/>
        <w:tblInd w:w="113" w:type="dxa"/>
        <w:tblBorders>
          <w:left w:val="none" w:sz="0" w:space="0" w:color="auto"/>
          <w:right w:val="none" w:sz="0" w:space="0" w:color="auto"/>
          <w:insideV w:val="none" w:sz="0" w:space="0" w:color="auto"/>
        </w:tblBorders>
        <w:tblLook w:val="04A0" w:firstRow="1" w:lastRow="0" w:firstColumn="1" w:lastColumn="0" w:noHBand="0" w:noVBand="1"/>
      </w:tblPr>
      <w:tblGrid>
        <w:gridCol w:w="1180"/>
        <w:gridCol w:w="1677"/>
        <w:gridCol w:w="5040"/>
        <w:gridCol w:w="1980"/>
      </w:tblGrid>
      <w:tr w:rsidR="000958D8" w:rsidRPr="00E953B9" w:rsidTr="00E953B9">
        <w:tc>
          <w:tcPr>
            <w:tcW w:w="1180" w:type="dxa"/>
            <w:tcBorders>
              <w:top w:val="single" w:sz="18" w:space="0" w:color="auto"/>
              <w:bottom w:val="single" w:sz="18" w:space="0" w:color="auto"/>
            </w:tcBorders>
          </w:tcPr>
          <w:p w:rsidR="000958D8" w:rsidRPr="00E953B9" w:rsidRDefault="000958D8" w:rsidP="00BE72E4">
            <w:pPr>
              <w:rPr>
                <w:b/>
                <w:sz w:val="20"/>
              </w:rPr>
            </w:pPr>
            <w:r w:rsidRPr="00E953B9">
              <w:rPr>
                <w:b/>
                <w:sz w:val="20"/>
              </w:rPr>
              <w:t>Category</w:t>
            </w:r>
          </w:p>
        </w:tc>
        <w:tc>
          <w:tcPr>
            <w:tcW w:w="1677" w:type="dxa"/>
            <w:tcBorders>
              <w:top w:val="single" w:sz="18" w:space="0" w:color="auto"/>
              <w:bottom w:val="single" w:sz="18" w:space="0" w:color="auto"/>
            </w:tcBorders>
          </w:tcPr>
          <w:p w:rsidR="000958D8" w:rsidRPr="00E953B9" w:rsidRDefault="00E953B9" w:rsidP="00BE72E4">
            <w:pPr>
              <w:rPr>
                <w:b/>
                <w:sz w:val="20"/>
              </w:rPr>
            </w:pPr>
            <w:r w:rsidRPr="00E953B9">
              <w:rPr>
                <w:b/>
                <w:sz w:val="20"/>
              </w:rPr>
              <w:t>Form to be U</w:t>
            </w:r>
            <w:r w:rsidR="000958D8" w:rsidRPr="00E953B9">
              <w:rPr>
                <w:b/>
                <w:sz w:val="20"/>
              </w:rPr>
              <w:t>sed</w:t>
            </w:r>
          </w:p>
        </w:tc>
        <w:tc>
          <w:tcPr>
            <w:tcW w:w="5040" w:type="dxa"/>
            <w:tcBorders>
              <w:top w:val="single" w:sz="18" w:space="0" w:color="auto"/>
              <w:bottom w:val="single" w:sz="18" w:space="0" w:color="auto"/>
            </w:tcBorders>
          </w:tcPr>
          <w:p w:rsidR="000958D8" w:rsidRPr="00E953B9" w:rsidRDefault="000958D8" w:rsidP="00BE72E4">
            <w:pPr>
              <w:rPr>
                <w:b/>
                <w:sz w:val="20"/>
              </w:rPr>
            </w:pPr>
            <w:r w:rsidRPr="00E953B9">
              <w:rPr>
                <w:b/>
                <w:sz w:val="20"/>
              </w:rPr>
              <w:t>Type of Changes</w:t>
            </w:r>
            <w:r w:rsidR="00E953B9" w:rsidRPr="00E953B9">
              <w:rPr>
                <w:b/>
                <w:sz w:val="20"/>
                <w:vertAlign w:val="superscript"/>
              </w:rPr>
              <w:t>1</w:t>
            </w:r>
          </w:p>
        </w:tc>
        <w:tc>
          <w:tcPr>
            <w:tcW w:w="1980" w:type="dxa"/>
            <w:tcBorders>
              <w:top w:val="single" w:sz="18" w:space="0" w:color="auto"/>
              <w:bottom w:val="single" w:sz="18" w:space="0" w:color="auto"/>
            </w:tcBorders>
          </w:tcPr>
          <w:p w:rsidR="000958D8" w:rsidRPr="00E953B9" w:rsidRDefault="000958D8" w:rsidP="00BE72E4">
            <w:pPr>
              <w:rPr>
                <w:b/>
                <w:sz w:val="20"/>
              </w:rPr>
            </w:pPr>
            <w:r w:rsidRPr="00E953B9">
              <w:rPr>
                <w:b/>
                <w:sz w:val="20"/>
              </w:rPr>
              <w:t>Typ</w:t>
            </w:r>
            <w:r w:rsidR="00E953B9" w:rsidRPr="00E953B9">
              <w:rPr>
                <w:b/>
                <w:sz w:val="20"/>
              </w:rPr>
              <w:t>e of R</w:t>
            </w:r>
            <w:r w:rsidRPr="00E953B9">
              <w:rPr>
                <w:b/>
                <w:sz w:val="20"/>
              </w:rPr>
              <w:t>eview</w:t>
            </w:r>
          </w:p>
        </w:tc>
      </w:tr>
      <w:tr w:rsidR="000958D8" w:rsidRPr="00E953B9" w:rsidTr="009831C5">
        <w:tc>
          <w:tcPr>
            <w:tcW w:w="1180" w:type="dxa"/>
            <w:tcBorders>
              <w:top w:val="single" w:sz="18" w:space="0" w:color="auto"/>
              <w:bottom w:val="single" w:sz="4" w:space="0" w:color="auto"/>
            </w:tcBorders>
          </w:tcPr>
          <w:p w:rsidR="000958D8" w:rsidRPr="00E953B9" w:rsidRDefault="000958D8" w:rsidP="00BE72E4">
            <w:pPr>
              <w:rPr>
                <w:sz w:val="20"/>
              </w:rPr>
            </w:pPr>
            <w:r w:rsidRPr="00E953B9">
              <w:rPr>
                <w:sz w:val="20"/>
              </w:rPr>
              <w:t>Major (Significant) Change</w:t>
            </w:r>
          </w:p>
        </w:tc>
        <w:tc>
          <w:tcPr>
            <w:tcW w:w="1677" w:type="dxa"/>
            <w:tcBorders>
              <w:top w:val="single" w:sz="18" w:space="0" w:color="auto"/>
              <w:bottom w:val="single" w:sz="4" w:space="0" w:color="auto"/>
            </w:tcBorders>
          </w:tcPr>
          <w:p w:rsidR="000958D8" w:rsidRPr="00E953B9" w:rsidRDefault="000958D8" w:rsidP="00BE72E4">
            <w:pPr>
              <w:rPr>
                <w:sz w:val="20"/>
              </w:rPr>
            </w:pPr>
            <w:r w:rsidRPr="00E953B9">
              <w:rPr>
                <w:sz w:val="20"/>
              </w:rPr>
              <w:t>Form A</w:t>
            </w:r>
          </w:p>
        </w:tc>
        <w:tc>
          <w:tcPr>
            <w:tcW w:w="5040" w:type="dxa"/>
            <w:tcBorders>
              <w:top w:val="single" w:sz="18" w:space="0" w:color="auto"/>
            </w:tcBorders>
          </w:tcPr>
          <w:p w:rsidR="000958D8" w:rsidRPr="00E953B9" w:rsidRDefault="000958D8" w:rsidP="00BE72E4">
            <w:pPr>
              <w:pStyle w:val="ListParagraph"/>
              <w:numPr>
                <w:ilvl w:val="0"/>
                <w:numId w:val="3"/>
              </w:numPr>
              <w:rPr>
                <w:sz w:val="20"/>
              </w:rPr>
            </w:pPr>
            <w:r w:rsidRPr="00E953B9">
              <w:rPr>
                <w:sz w:val="20"/>
              </w:rPr>
              <w:t xml:space="preserve">Change in species </w:t>
            </w:r>
          </w:p>
          <w:p w:rsidR="000958D8" w:rsidRPr="00E953B9" w:rsidRDefault="000958D8" w:rsidP="00BE72E4">
            <w:pPr>
              <w:pStyle w:val="ListParagraph"/>
              <w:numPr>
                <w:ilvl w:val="0"/>
                <w:numId w:val="3"/>
              </w:numPr>
              <w:rPr>
                <w:sz w:val="20"/>
              </w:rPr>
            </w:pPr>
            <w:r w:rsidRPr="00E953B9">
              <w:rPr>
                <w:sz w:val="20"/>
              </w:rPr>
              <w:t xml:space="preserve">Addition of animal numbers &gt;10% larger than the approved number of </w:t>
            </w:r>
            <w:r w:rsidR="009831C5">
              <w:rPr>
                <w:sz w:val="20"/>
              </w:rPr>
              <w:t xml:space="preserve">animals for rats, mice, fish, </w:t>
            </w:r>
            <w:r w:rsidRPr="00E953B9">
              <w:rPr>
                <w:sz w:val="20"/>
              </w:rPr>
              <w:t>frogs, and birds</w:t>
            </w:r>
          </w:p>
          <w:p w:rsidR="000958D8" w:rsidRPr="00E953B9" w:rsidRDefault="000958D8" w:rsidP="00BE72E4">
            <w:pPr>
              <w:pStyle w:val="ListParagraph"/>
              <w:numPr>
                <w:ilvl w:val="0"/>
                <w:numId w:val="3"/>
              </w:numPr>
              <w:rPr>
                <w:sz w:val="20"/>
              </w:rPr>
            </w:pPr>
            <w:r w:rsidRPr="00E953B9">
              <w:rPr>
                <w:sz w:val="20"/>
              </w:rPr>
              <w:t>Housing &gt; 12 hours outside of an animal facility</w:t>
            </w:r>
          </w:p>
          <w:p w:rsidR="000958D8" w:rsidRPr="00E953B9" w:rsidRDefault="000958D8" w:rsidP="00BE72E4">
            <w:pPr>
              <w:pStyle w:val="ListParagraph"/>
              <w:numPr>
                <w:ilvl w:val="0"/>
                <w:numId w:val="3"/>
              </w:numPr>
              <w:rPr>
                <w:sz w:val="20"/>
              </w:rPr>
            </w:pPr>
            <w:r w:rsidRPr="00E953B9">
              <w:rPr>
                <w:sz w:val="20"/>
              </w:rPr>
              <w:t xml:space="preserve">Change from non-survival to survival surgery </w:t>
            </w:r>
          </w:p>
          <w:p w:rsidR="000958D8" w:rsidRPr="00E953B9" w:rsidRDefault="000958D8" w:rsidP="00BE72E4">
            <w:pPr>
              <w:pStyle w:val="ListParagraph"/>
              <w:numPr>
                <w:ilvl w:val="0"/>
                <w:numId w:val="3"/>
              </w:numPr>
              <w:rPr>
                <w:sz w:val="20"/>
              </w:rPr>
            </w:pPr>
            <w:r w:rsidRPr="00E953B9">
              <w:rPr>
                <w:sz w:val="20"/>
              </w:rPr>
              <w:t xml:space="preserve">Addition of a surgical procedure that results in multiple major survival surgery in any animal </w:t>
            </w:r>
          </w:p>
          <w:p w:rsidR="000958D8" w:rsidRPr="00E953B9" w:rsidRDefault="000958D8" w:rsidP="00BE72E4">
            <w:pPr>
              <w:pStyle w:val="ListParagraph"/>
              <w:numPr>
                <w:ilvl w:val="0"/>
                <w:numId w:val="3"/>
              </w:numPr>
              <w:rPr>
                <w:sz w:val="20"/>
              </w:rPr>
            </w:pPr>
            <w:r w:rsidRPr="00E953B9">
              <w:rPr>
                <w:sz w:val="20"/>
              </w:rPr>
              <w:t xml:space="preserve">Change in type of survival surgery </w:t>
            </w:r>
          </w:p>
          <w:p w:rsidR="000958D8" w:rsidRPr="00E953B9" w:rsidRDefault="000958D8" w:rsidP="00BE72E4">
            <w:pPr>
              <w:pStyle w:val="ListParagraph"/>
              <w:numPr>
                <w:ilvl w:val="0"/>
                <w:numId w:val="3"/>
              </w:numPr>
              <w:rPr>
                <w:sz w:val="20"/>
              </w:rPr>
            </w:pPr>
            <w:r w:rsidRPr="00E953B9">
              <w:rPr>
                <w:sz w:val="20"/>
              </w:rPr>
              <w:t xml:space="preserve">Increased invasiveness of a procedure </w:t>
            </w:r>
          </w:p>
          <w:p w:rsidR="000958D8" w:rsidRPr="00E953B9" w:rsidRDefault="000958D8" w:rsidP="00BE72E4">
            <w:pPr>
              <w:pStyle w:val="ListParagraph"/>
              <w:numPr>
                <w:ilvl w:val="0"/>
                <w:numId w:val="3"/>
              </w:numPr>
              <w:rPr>
                <w:sz w:val="20"/>
              </w:rPr>
            </w:pPr>
            <w:r w:rsidRPr="00E953B9">
              <w:rPr>
                <w:sz w:val="20"/>
              </w:rPr>
              <w:t>Any procedure that would fall in pain category E</w:t>
            </w:r>
          </w:p>
          <w:p w:rsidR="000958D8" w:rsidRPr="00E953B9" w:rsidRDefault="000958D8" w:rsidP="00BE72E4">
            <w:pPr>
              <w:pStyle w:val="ListParagraph"/>
              <w:numPr>
                <w:ilvl w:val="0"/>
                <w:numId w:val="3"/>
              </w:numPr>
              <w:rPr>
                <w:sz w:val="20"/>
              </w:rPr>
            </w:pPr>
            <w:r w:rsidRPr="00E953B9">
              <w:rPr>
                <w:sz w:val="20"/>
              </w:rPr>
              <w:t xml:space="preserve">Increase in the duration of pain, discomfort or distress to an animal </w:t>
            </w:r>
          </w:p>
          <w:p w:rsidR="000958D8" w:rsidRPr="00E953B9" w:rsidRDefault="000958D8" w:rsidP="00BE72E4">
            <w:pPr>
              <w:pStyle w:val="ListParagraph"/>
              <w:numPr>
                <w:ilvl w:val="0"/>
                <w:numId w:val="3"/>
              </w:numPr>
              <w:rPr>
                <w:sz w:val="20"/>
              </w:rPr>
            </w:pPr>
            <w:r w:rsidRPr="00E953B9">
              <w:rPr>
                <w:sz w:val="20"/>
              </w:rPr>
              <w:t xml:space="preserve">Restraint of animals for &gt; 1 hour </w:t>
            </w:r>
          </w:p>
          <w:p w:rsidR="000958D8" w:rsidRPr="00E953B9" w:rsidRDefault="000958D8" w:rsidP="00BE72E4">
            <w:pPr>
              <w:pStyle w:val="ListParagraph"/>
              <w:numPr>
                <w:ilvl w:val="0"/>
                <w:numId w:val="3"/>
              </w:numPr>
              <w:rPr>
                <w:sz w:val="20"/>
              </w:rPr>
            </w:pPr>
            <w:r w:rsidRPr="00E953B9">
              <w:rPr>
                <w:sz w:val="20"/>
              </w:rPr>
              <w:t xml:space="preserve">Hazardous agents administered to animals </w:t>
            </w:r>
          </w:p>
          <w:p w:rsidR="000958D8" w:rsidRPr="00E953B9" w:rsidRDefault="000958D8" w:rsidP="00BE72E4">
            <w:pPr>
              <w:pStyle w:val="ListParagraph"/>
              <w:numPr>
                <w:ilvl w:val="0"/>
                <w:numId w:val="3"/>
              </w:numPr>
              <w:rPr>
                <w:sz w:val="20"/>
              </w:rPr>
            </w:pPr>
            <w:r w:rsidRPr="00E953B9">
              <w:rPr>
                <w:sz w:val="20"/>
              </w:rPr>
              <w:t xml:space="preserve">Principal Investigator (PI) change </w:t>
            </w:r>
          </w:p>
          <w:p w:rsidR="000958D8" w:rsidRPr="00E953B9" w:rsidRDefault="000958D8" w:rsidP="00BE72E4">
            <w:pPr>
              <w:pStyle w:val="ListParagraph"/>
              <w:numPr>
                <w:ilvl w:val="0"/>
                <w:numId w:val="3"/>
              </w:numPr>
              <w:rPr>
                <w:sz w:val="20"/>
              </w:rPr>
            </w:pPr>
            <w:r w:rsidRPr="00E953B9">
              <w:rPr>
                <w:sz w:val="20"/>
              </w:rPr>
              <w:t xml:space="preserve">Addition of neuromuscular blocking agents </w:t>
            </w:r>
          </w:p>
          <w:p w:rsidR="000958D8" w:rsidRDefault="000958D8" w:rsidP="00BE72E4">
            <w:pPr>
              <w:pStyle w:val="ListParagraph"/>
              <w:numPr>
                <w:ilvl w:val="0"/>
                <w:numId w:val="3"/>
              </w:numPr>
              <w:rPr>
                <w:sz w:val="20"/>
              </w:rPr>
            </w:pPr>
            <w:r w:rsidRPr="00E953B9">
              <w:rPr>
                <w:sz w:val="20"/>
              </w:rPr>
              <w:t xml:space="preserve">Introduction of unrelieved pain/distress </w:t>
            </w:r>
          </w:p>
          <w:p w:rsidR="009831C5" w:rsidRPr="00E953B9" w:rsidRDefault="009831C5" w:rsidP="00BE72E4">
            <w:pPr>
              <w:pStyle w:val="ListParagraph"/>
              <w:numPr>
                <w:ilvl w:val="0"/>
                <w:numId w:val="3"/>
              </w:numPr>
              <w:rPr>
                <w:sz w:val="20"/>
              </w:rPr>
            </w:pPr>
            <w:r>
              <w:rPr>
                <w:sz w:val="20"/>
              </w:rPr>
              <w:t>Change of study objective(s)</w:t>
            </w:r>
          </w:p>
          <w:p w:rsidR="000958D8" w:rsidRPr="00E953B9" w:rsidRDefault="000958D8" w:rsidP="00BE72E4">
            <w:pPr>
              <w:pStyle w:val="ListParagraph"/>
              <w:ind w:left="360"/>
              <w:rPr>
                <w:sz w:val="20"/>
              </w:rPr>
            </w:pPr>
          </w:p>
        </w:tc>
        <w:tc>
          <w:tcPr>
            <w:tcW w:w="1980" w:type="dxa"/>
            <w:tcBorders>
              <w:top w:val="single" w:sz="18" w:space="0" w:color="auto"/>
            </w:tcBorders>
          </w:tcPr>
          <w:p w:rsidR="000958D8" w:rsidRPr="00E953B9" w:rsidRDefault="00E953B9" w:rsidP="00BE72E4">
            <w:pPr>
              <w:rPr>
                <w:sz w:val="20"/>
              </w:rPr>
            </w:pPr>
            <w:r w:rsidRPr="00E953B9">
              <w:rPr>
                <w:sz w:val="20"/>
              </w:rPr>
              <w:t>Full IACUC R</w:t>
            </w:r>
            <w:r w:rsidR="000958D8" w:rsidRPr="00E953B9">
              <w:rPr>
                <w:sz w:val="20"/>
              </w:rPr>
              <w:t>eview at a convened</w:t>
            </w:r>
            <w:r w:rsidRPr="00E953B9">
              <w:rPr>
                <w:sz w:val="20"/>
              </w:rPr>
              <w:t xml:space="preserve"> m</w:t>
            </w:r>
            <w:r w:rsidR="000958D8" w:rsidRPr="00E953B9">
              <w:rPr>
                <w:sz w:val="20"/>
              </w:rPr>
              <w:t>eeting</w:t>
            </w:r>
          </w:p>
        </w:tc>
      </w:tr>
      <w:tr w:rsidR="000958D8" w:rsidRPr="00E953B9" w:rsidTr="009831C5">
        <w:tc>
          <w:tcPr>
            <w:tcW w:w="1180" w:type="dxa"/>
            <w:vMerge w:val="restart"/>
            <w:tcBorders>
              <w:bottom w:val="nil"/>
            </w:tcBorders>
          </w:tcPr>
          <w:p w:rsidR="000958D8" w:rsidRPr="00E953B9" w:rsidRDefault="000958D8" w:rsidP="00BE72E4">
            <w:pPr>
              <w:rPr>
                <w:sz w:val="20"/>
              </w:rPr>
            </w:pPr>
            <w:r w:rsidRPr="00E953B9">
              <w:rPr>
                <w:sz w:val="20"/>
              </w:rPr>
              <w:t>Minor</w:t>
            </w:r>
          </w:p>
        </w:tc>
        <w:tc>
          <w:tcPr>
            <w:tcW w:w="1677" w:type="dxa"/>
            <w:vMerge w:val="restart"/>
            <w:tcBorders>
              <w:bottom w:val="nil"/>
            </w:tcBorders>
          </w:tcPr>
          <w:p w:rsidR="000958D8" w:rsidRPr="00E953B9" w:rsidRDefault="000958D8" w:rsidP="00BE72E4">
            <w:pPr>
              <w:rPr>
                <w:sz w:val="20"/>
              </w:rPr>
            </w:pPr>
            <w:r w:rsidRPr="00E953B9">
              <w:rPr>
                <w:sz w:val="20"/>
              </w:rPr>
              <w:t>Form B</w:t>
            </w:r>
          </w:p>
          <w:p w:rsidR="000958D8" w:rsidRPr="00E953B9" w:rsidRDefault="000958D8" w:rsidP="00BE72E4">
            <w:pPr>
              <w:rPr>
                <w:sz w:val="20"/>
              </w:rPr>
            </w:pPr>
          </w:p>
        </w:tc>
        <w:tc>
          <w:tcPr>
            <w:tcW w:w="5040" w:type="dxa"/>
          </w:tcPr>
          <w:p w:rsidR="000958D8" w:rsidRPr="00E953B9" w:rsidRDefault="000958D8" w:rsidP="00BE72E4">
            <w:pPr>
              <w:pStyle w:val="ListParagraph"/>
              <w:numPr>
                <w:ilvl w:val="0"/>
                <w:numId w:val="4"/>
              </w:numPr>
              <w:rPr>
                <w:sz w:val="20"/>
              </w:rPr>
            </w:pPr>
            <w:r w:rsidRPr="00E953B9">
              <w:rPr>
                <w:sz w:val="20"/>
              </w:rPr>
              <w:t xml:space="preserve">Addition of humane endpoints which result in less pain/distress </w:t>
            </w:r>
          </w:p>
          <w:p w:rsidR="000958D8" w:rsidRPr="00E953B9" w:rsidRDefault="000958D8" w:rsidP="00BE72E4">
            <w:pPr>
              <w:pStyle w:val="ListParagraph"/>
              <w:numPr>
                <w:ilvl w:val="0"/>
                <w:numId w:val="4"/>
              </w:numPr>
              <w:rPr>
                <w:sz w:val="20"/>
              </w:rPr>
            </w:pPr>
            <w:r w:rsidRPr="00E953B9">
              <w:rPr>
                <w:sz w:val="20"/>
              </w:rPr>
              <w:t>Addition of non-invasive sampling/analysis type</w:t>
            </w:r>
          </w:p>
        </w:tc>
        <w:tc>
          <w:tcPr>
            <w:tcW w:w="1980" w:type="dxa"/>
          </w:tcPr>
          <w:p w:rsidR="000958D8" w:rsidRPr="00E953B9" w:rsidRDefault="000958D8" w:rsidP="00BE72E4">
            <w:pPr>
              <w:rPr>
                <w:sz w:val="20"/>
              </w:rPr>
            </w:pPr>
            <w:r w:rsidRPr="00E953B9">
              <w:rPr>
                <w:sz w:val="20"/>
              </w:rPr>
              <w:t>Designated IACUC Committee Review</w:t>
            </w:r>
          </w:p>
        </w:tc>
      </w:tr>
      <w:tr w:rsidR="000958D8" w:rsidRPr="00E953B9" w:rsidTr="009831C5">
        <w:tc>
          <w:tcPr>
            <w:tcW w:w="1180" w:type="dxa"/>
            <w:vMerge/>
            <w:tcBorders>
              <w:top w:val="nil"/>
              <w:bottom w:val="nil"/>
            </w:tcBorders>
          </w:tcPr>
          <w:p w:rsidR="000958D8" w:rsidRPr="00E953B9" w:rsidRDefault="000958D8" w:rsidP="00BE72E4">
            <w:pPr>
              <w:rPr>
                <w:sz w:val="20"/>
              </w:rPr>
            </w:pPr>
          </w:p>
        </w:tc>
        <w:tc>
          <w:tcPr>
            <w:tcW w:w="1677" w:type="dxa"/>
            <w:vMerge/>
            <w:tcBorders>
              <w:top w:val="nil"/>
              <w:bottom w:val="nil"/>
            </w:tcBorders>
          </w:tcPr>
          <w:p w:rsidR="000958D8" w:rsidRPr="00E953B9" w:rsidRDefault="000958D8" w:rsidP="00BE72E4">
            <w:pPr>
              <w:rPr>
                <w:sz w:val="20"/>
              </w:rPr>
            </w:pPr>
          </w:p>
        </w:tc>
        <w:tc>
          <w:tcPr>
            <w:tcW w:w="5040" w:type="dxa"/>
          </w:tcPr>
          <w:p w:rsidR="000958D8" w:rsidRPr="00E953B9" w:rsidRDefault="000958D8" w:rsidP="00BE72E4">
            <w:pPr>
              <w:pStyle w:val="ListParagraph"/>
              <w:numPr>
                <w:ilvl w:val="0"/>
                <w:numId w:val="5"/>
              </w:numPr>
              <w:rPr>
                <w:sz w:val="20"/>
              </w:rPr>
            </w:pPr>
            <w:r w:rsidRPr="00E953B9">
              <w:rPr>
                <w:sz w:val="20"/>
              </w:rPr>
              <w:t>Increase in numbers of animals less than 10% of the approved numbers for the entire project period addition of another strain/stock of the same animal species</w:t>
            </w:r>
          </w:p>
          <w:p w:rsidR="000958D8" w:rsidRPr="00E953B9" w:rsidRDefault="000958D8" w:rsidP="00BE72E4">
            <w:pPr>
              <w:pStyle w:val="ListParagraph"/>
              <w:numPr>
                <w:ilvl w:val="0"/>
                <w:numId w:val="5"/>
              </w:numPr>
              <w:rPr>
                <w:sz w:val="20"/>
              </w:rPr>
            </w:pPr>
            <w:r w:rsidRPr="00E953B9">
              <w:rPr>
                <w:sz w:val="20"/>
              </w:rPr>
              <w:t>Duration or  frequency of procedures performed on an animal</w:t>
            </w:r>
          </w:p>
        </w:tc>
        <w:tc>
          <w:tcPr>
            <w:tcW w:w="1980" w:type="dxa"/>
          </w:tcPr>
          <w:p w:rsidR="000958D8" w:rsidRPr="00E953B9" w:rsidRDefault="000958D8" w:rsidP="00BE72E4">
            <w:pPr>
              <w:rPr>
                <w:sz w:val="20"/>
              </w:rPr>
            </w:pPr>
            <w:r w:rsidRPr="00E953B9">
              <w:rPr>
                <w:sz w:val="20"/>
              </w:rPr>
              <w:t>Veterinarian and IACUC Chair Review</w:t>
            </w:r>
          </w:p>
        </w:tc>
      </w:tr>
      <w:tr w:rsidR="009831C5" w:rsidRPr="00E953B9" w:rsidTr="009831C5">
        <w:tc>
          <w:tcPr>
            <w:tcW w:w="1180" w:type="dxa"/>
            <w:tcBorders>
              <w:top w:val="nil"/>
            </w:tcBorders>
          </w:tcPr>
          <w:p w:rsidR="009831C5" w:rsidRPr="00E953B9" w:rsidRDefault="009831C5" w:rsidP="00BE72E4">
            <w:pPr>
              <w:rPr>
                <w:sz w:val="20"/>
              </w:rPr>
            </w:pPr>
          </w:p>
        </w:tc>
        <w:tc>
          <w:tcPr>
            <w:tcW w:w="1677" w:type="dxa"/>
            <w:tcBorders>
              <w:top w:val="nil"/>
            </w:tcBorders>
          </w:tcPr>
          <w:p w:rsidR="009831C5" w:rsidRPr="00E953B9" w:rsidRDefault="009831C5" w:rsidP="00BE72E4">
            <w:pPr>
              <w:rPr>
                <w:sz w:val="20"/>
              </w:rPr>
            </w:pPr>
          </w:p>
        </w:tc>
        <w:tc>
          <w:tcPr>
            <w:tcW w:w="5040" w:type="dxa"/>
          </w:tcPr>
          <w:p w:rsidR="004F3469" w:rsidRDefault="004F3469" w:rsidP="004F3469">
            <w:pPr>
              <w:pStyle w:val="ListParagraph"/>
              <w:numPr>
                <w:ilvl w:val="0"/>
                <w:numId w:val="5"/>
              </w:numPr>
              <w:rPr>
                <w:sz w:val="20"/>
              </w:rPr>
            </w:pPr>
            <w:r w:rsidRPr="009831C5">
              <w:rPr>
                <w:sz w:val="20"/>
              </w:rPr>
              <w:t>Any change in anesthetic or analgesic drug regimens</w:t>
            </w:r>
          </w:p>
          <w:p w:rsidR="009831C5" w:rsidRPr="004F3469" w:rsidRDefault="004F3469" w:rsidP="004F3469">
            <w:pPr>
              <w:pStyle w:val="ListParagraph"/>
              <w:numPr>
                <w:ilvl w:val="0"/>
                <w:numId w:val="5"/>
              </w:numPr>
              <w:rPr>
                <w:sz w:val="20"/>
              </w:rPr>
            </w:pPr>
            <w:r w:rsidRPr="00E953B9">
              <w:rPr>
                <w:sz w:val="20"/>
              </w:rPr>
              <w:t xml:space="preserve">Change in euthanasia procedures </w:t>
            </w:r>
          </w:p>
        </w:tc>
        <w:tc>
          <w:tcPr>
            <w:tcW w:w="1980" w:type="dxa"/>
          </w:tcPr>
          <w:p w:rsidR="009831C5" w:rsidRPr="00E953B9" w:rsidRDefault="009831C5" w:rsidP="00BE72E4">
            <w:pPr>
              <w:rPr>
                <w:sz w:val="20"/>
              </w:rPr>
            </w:pPr>
            <w:r>
              <w:rPr>
                <w:sz w:val="20"/>
              </w:rPr>
              <w:t>Veterinarian</w:t>
            </w:r>
          </w:p>
        </w:tc>
      </w:tr>
    </w:tbl>
    <w:p w:rsidR="000958D8" w:rsidRPr="00E953B9" w:rsidRDefault="00E953B9">
      <w:pPr>
        <w:rPr>
          <w:sz w:val="20"/>
        </w:rPr>
      </w:pPr>
      <w:r w:rsidRPr="00E953B9">
        <w:rPr>
          <w:b/>
          <w:sz w:val="20"/>
          <w:vertAlign w:val="superscript"/>
        </w:rPr>
        <w:t>1</w:t>
      </w:r>
      <w:r>
        <w:rPr>
          <w:sz w:val="20"/>
        </w:rPr>
        <w:t>to include but not limited to</w:t>
      </w:r>
    </w:p>
    <w:sectPr w:rsidR="000958D8" w:rsidRPr="00E953B9" w:rsidSect="009831C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34" w:rsidRDefault="00342934" w:rsidP="00E953B9">
      <w:pPr>
        <w:spacing w:after="0" w:line="240" w:lineRule="auto"/>
      </w:pPr>
      <w:r>
        <w:separator/>
      </w:r>
    </w:p>
  </w:endnote>
  <w:endnote w:type="continuationSeparator" w:id="0">
    <w:p w:rsidR="00342934" w:rsidRDefault="00342934" w:rsidP="00E9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B9" w:rsidRDefault="00E953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B9" w:rsidRDefault="00E953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B9" w:rsidRDefault="00E95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34" w:rsidRDefault="00342934" w:rsidP="00E953B9">
      <w:pPr>
        <w:spacing w:after="0" w:line="240" w:lineRule="auto"/>
      </w:pPr>
      <w:r>
        <w:separator/>
      </w:r>
    </w:p>
  </w:footnote>
  <w:footnote w:type="continuationSeparator" w:id="0">
    <w:p w:rsidR="00342934" w:rsidRDefault="00342934" w:rsidP="00E95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B9" w:rsidRDefault="00E953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B9" w:rsidRPr="00E953B9" w:rsidRDefault="00E953B9" w:rsidP="00E953B9">
    <w:pPr>
      <w:spacing w:after="0" w:line="240" w:lineRule="auto"/>
      <w:rPr>
        <w:rFonts w:ascii="Arial" w:eastAsia="Times" w:hAnsi="Arial" w:cs="Times New Roman"/>
        <w:smallCaps/>
        <w:sz w:val="28"/>
        <w:szCs w:val="28"/>
      </w:rPr>
    </w:pPr>
    <w:r w:rsidRPr="00E953B9">
      <w:rPr>
        <w:rFonts w:ascii="Arial" w:eastAsia="Times" w:hAnsi="Arial" w:cs="Times New Roman"/>
        <w:smallCaps/>
        <w:sz w:val="28"/>
        <w:szCs w:val="28"/>
      </w:rPr>
      <w:t>California State University, Los Angeles</w:t>
    </w:r>
  </w:p>
  <w:p w:rsidR="00E953B9" w:rsidRPr="00E953B9" w:rsidRDefault="00E953B9" w:rsidP="00E953B9">
    <w:pPr>
      <w:spacing w:after="0" w:line="240" w:lineRule="auto"/>
      <w:rPr>
        <w:rFonts w:ascii="Arial" w:eastAsia="Times" w:hAnsi="Arial" w:cs="Times New Roman"/>
        <w:smallCaps/>
        <w:sz w:val="28"/>
        <w:szCs w:val="28"/>
      </w:rPr>
    </w:pPr>
    <w:r w:rsidRPr="00E953B9">
      <w:rPr>
        <w:rFonts w:ascii="Arial" w:eastAsia="Times" w:hAnsi="Arial" w:cs="Times New Roman"/>
        <w:smallCaps/>
        <w:sz w:val="28"/>
        <w:szCs w:val="28"/>
      </w:rPr>
      <w:t>institutional animal use and care committee</w:t>
    </w:r>
  </w:p>
  <w:p w:rsidR="00E953B9" w:rsidRDefault="00E953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B9" w:rsidRDefault="00E95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1E1"/>
    <w:multiLevelType w:val="hybridMultilevel"/>
    <w:tmpl w:val="8F24E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194956"/>
    <w:multiLevelType w:val="hybridMultilevel"/>
    <w:tmpl w:val="66461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9E768C"/>
    <w:multiLevelType w:val="hybridMultilevel"/>
    <w:tmpl w:val="6E38D1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E203D7"/>
    <w:multiLevelType w:val="hybridMultilevel"/>
    <w:tmpl w:val="DE96C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13522F"/>
    <w:multiLevelType w:val="hybridMultilevel"/>
    <w:tmpl w:val="53CC54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8B3954"/>
    <w:multiLevelType w:val="hybridMultilevel"/>
    <w:tmpl w:val="0456A75A"/>
    <w:lvl w:ilvl="0" w:tplc="40B00A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D8"/>
    <w:rsid w:val="000958D8"/>
    <w:rsid w:val="00342934"/>
    <w:rsid w:val="004F3469"/>
    <w:rsid w:val="005C4AB1"/>
    <w:rsid w:val="007B05A4"/>
    <w:rsid w:val="00930B73"/>
    <w:rsid w:val="009831C5"/>
    <w:rsid w:val="00BB2754"/>
    <w:rsid w:val="00D54126"/>
    <w:rsid w:val="00DC0A0E"/>
    <w:rsid w:val="00E9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8D8"/>
    <w:pPr>
      <w:ind w:left="720"/>
      <w:contextualSpacing/>
    </w:pPr>
  </w:style>
  <w:style w:type="paragraph" w:styleId="BalloonText">
    <w:name w:val="Balloon Text"/>
    <w:basedOn w:val="Normal"/>
    <w:link w:val="BalloonTextChar"/>
    <w:uiPriority w:val="99"/>
    <w:semiHidden/>
    <w:unhideWhenUsed/>
    <w:rsid w:val="0009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8D8"/>
    <w:rPr>
      <w:rFonts w:ascii="Segoe UI" w:hAnsi="Segoe UI" w:cs="Segoe UI"/>
      <w:sz w:val="18"/>
      <w:szCs w:val="18"/>
    </w:rPr>
  </w:style>
  <w:style w:type="paragraph" w:styleId="Header">
    <w:name w:val="header"/>
    <w:basedOn w:val="Normal"/>
    <w:link w:val="HeaderChar"/>
    <w:uiPriority w:val="99"/>
    <w:unhideWhenUsed/>
    <w:rsid w:val="00E95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3B9"/>
  </w:style>
  <w:style w:type="paragraph" w:styleId="Footer">
    <w:name w:val="footer"/>
    <w:basedOn w:val="Normal"/>
    <w:link w:val="FooterChar"/>
    <w:uiPriority w:val="99"/>
    <w:unhideWhenUsed/>
    <w:rsid w:val="00E95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3B9"/>
  </w:style>
  <w:style w:type="paragraph" w:styleId="FootnoteText">
    <w:name w:val="footnote text"/>
    <w:basedOn w:val="Normal"/>
    <w:link w:val="FootnoteTextChar"/>
    <w:uiPriority w:val="99"/>
    <w:semiHidden/>
    <w:unhideWhenUsed/>
    <w:rsid w:val="00E953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3B9"/>
    <w:rPr>
      <w:sz w:val="20"/>
      <w:szCs w:val="20"/>
    </w:rPr>
  </w:style>
  <w:style w:type="character" w:styleId="FootnoteReference">
    <w:name w:val="footnote reference"/>
    <w:basedOn w:val="DefaultParagraphFont"/>
    <w:uiPriority w:val="99"/>
    <w:semiHidden/>
    <w:unhideWhenUsed/>
    <w:rsid w:val="00E953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8D8"/>
    <w:pPr>
      <w:ind w:left="720"/>
      <w:contextualSpacing/>
    </w:pPr>
  </w:style>
  <w:style w:type="paragraph" w:styleId="BalloonText">
    <w:name w:val="Balloon Text"/>
    <w:basedOn w:val="Normal"/>
    <w:link w:val="BalloonTextChar"/>
    <w:uiPriority w:val="99"/>
    <w:semiHidden/>
    <w:unhideWhenUsed/>
    <w:rsid w:val="0009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8D8"/>
    <w:rPr>
      <w:rFonts w:ascii="Segoe UI" w:hAnsi="Segoe UI" w:cs="Segoe UI"/>
      <w:sz w:val="18"/>
      <w:szCs w:val="18"/>
    </w:rPr>
  </w:style>
  <w:style w:type="paragraph" w:styleId="Header">
    <w:name w:val="header"/>
    <w:basedOn w:val="Normal"/>
    <w:link w:val="HeaderChar"/>
    <w:uiPriority w:val="99"/>
    <w:unhideWhenUsed/>
    <w:rsid w:val="00E95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3B9"/>
  </w:style>
  <w:style w:type="paragraph" w:styleId="Footer">
    <w:name w:val="footer"/>
    <w:basedOn w:val="Normal"/>
    <w:link w:val="FooterChar"/>
    <w:uiPriority w:val="99"/>
    <w:unhideWhenUsed/>
    <w:rsid w:val="00E95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3B9"/>
  </w:style>
  <w:style w:type="paragraph" w:styleId="FootnoteText">
    <w:name w:val="footnote text"/>
    <w:basedOn w:val="Normal"/>
    <w:link w:val="FootnoteTextChar"/>
    <w:uiPriority w:val="99"/>
    <w:semiHidden/>
    <w:unhideWhenUsed/>
    <w:rsid w:val="00E953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3B9"/>
    <w:rPr>
      <w:sz w:val="20"/>
      <w:szCs w:val="20"/>
    </w:rPr>
  </w:style>
  <w:style w:type="character" w:styleId="FootnoteReference">
    <w:name w:val="footnote reference"/>
    <w:basedOn w:val="DefaultParagraphFont"/>
    <w:uiPriority w:val="99"/>
    <w:semiHidden/>
    <w:unhideWhenUsed/>
    <w:rsid w:val="00E95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8B10C-F94C-4A3B-AC5E-9B36ADD4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Edith</dc:creator>
  <cp:lastModifiedBy>Amaro, Elia</cp:lastModifiedBy>
  <cp:revision>2</cp:revision>
  <dcterms:created xsi:type="dcterms:W3CDTF">2015-10-05T17:35:00Z</dcterms:created>
  <dcterms:modified xsi:type="dcterms:W3CDTF">2015-10-05T17:35:00Z</dcterms:modified>
</cp:coreProperties>
</file>