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B50" w:rsidRDefault="00F161B4" w:rsidP="00F161B4">
      <w:pPr>
        <w:jc w:val="center"/>
        <w:rPr>
          <w:rFonts w:ascii="Times New Roman" w:hAnsi="Times New Roman" w:cs="Times New Roman"/>
          <w:b/>
          <w:sz w:val="24"/>
          <w:szCs w:val="24"/>
        </w:rPr>
      </w:pPr>
      <w:r w:rsidRPr="00742213">
        <w:rPr>
          <w:rFonts w:ascii="Times New Roman" w:hAnsi="Times New Roman" w:cs="Times New Roman"/>
          <w:b/>
          <w:sz w:val="24"/>
          <w:szCs w:val="24"/>
        </w:rPr>
        <w:t>Master of Science in Counseling, Option in Rehabilitation Counseling</w:t>
      </w:r>
    </w:p>
    <w:p w:rsidR="00742213" w:rsidRPr="00742213" w:rsidRDefault="00742213" w:rsidP="00F161B4">
      <w:pPr>
        <w:jc w:val="center"/>
        <w:rPr>
          <w:rFonts w:ascii="Times New Roman" w:hAnsi="Times New Roman" w:cs="Times New Roman"/>
          <w:b/>
          <w:sz w:val="24"/>
          <w:szCs w:val="24"/>
        </w:rPr>
      </w:pPr>
      <w:r>
        <w:rPr>
          <w:rFonts w:ascii="Times New Roman" w:hAnsi="Times New Roman" w:cs="Times New Roman"/>
          <w:b/>
          <w:sz w:val="24"/>
          <w:szCs w:val="24"/>
        </w:rPr>
        <w:t>ANNUAL REPORT</w:t>
      </w:r>
    </w:p>
    <w:p w:rsidR="00B943C3" w:rsidRPr="004F4BA0" w:rsidRDefault="00F161B4" w:rsidP="004F4BA0">
      <w:pPr>
        <w:jc w:val="center"/>
        <w:rPr>
          <w:rStyle w:val="normaltextrun"/>
          <w:rFonts w:ascii="Times New Roman" w:hAnsi="Times New Roman" w:cs="Times New Roman"/>
          <w:sz w:val="24"/>
          <w:szCs w:val="24"/>
        </w:rPr>
      </w:pPr>
      <w:r w:rsidRPr="00B943C3">
        <w:rPr>
          <w:rFonts w:ascii="Times New Roman" w:hAnsi="Times New Roman" w:cs="Times New Roman"/>
          <w:sz w:val="24"/>
          <w:szCs w:val="24"/>
        </w:rPr>
        <w:t>Report Published May 2024</w:t>
      </w:r>
    </w:p>
    <w:p w:rsidR="007C2BFD" w:rsidRPr="004F4BA0" w:rsidRDefault="007C2BFD" w:rsidP="00F161B4">
      <w:pPr>
        <w:rPr>
          <w:rStyle w:val="normaltextrun"/>
          <w:rFonts w:ascii="Times New Roman" w:eastAsia="Times New Roman" w:hAnsi="Times New Roman" w:cs="Times New Roman"/>
          <w:i/>
          <w:sz w:val="24"/>
          <w:szCs w:val="24"/>
        </w:rPr>
      </w:pPr>
      <w:r w:rsidRPr="004F4BA0">
        <w:rPr>
          <w:rStyle w:val="normaltextrun"/>
          <w:rFonts w:ascii="Times New Roman" w:eastAsia="Times New Roman" w:hAnsi="Times New Roman" w:cs="Times New Roman"/>
          <w:i/>
          <w:sz w:val="24"/>
          <w:szCs w:val="24"/>
        </w:rPr>
        <w:t>There have been no curricular changes to the Rehabilitation Counseling program during the 2023-2024 academic year. The</w:t>
      </w:r>
      <w:r w:rsidR="00CE2079">
        <w:rPr>
          <w:rStyle w:val="normaltextrun"/>
          <w:rFonts w:ascii="Times New Roman" w:eastAsia="Times New Roman" w:hAnsi="Times New Roman" w:cs="Times New Roman"/>
          <w:i/>
          <w:sz w:val="24"/>
          <w:szCs w:val="24"/>
        </w:rPr>
        <w:t xml:space="preserve"> current</w:t>
      </w:r>
      <w:r w:rsidRPr="004F4BA0">
        <w:rPr>
          <w:rStyle w:val="normaltextrun"/>
          <w:rFonts w:ascii="Times New Roman" w:eastAsia="Times New Roman" w:hAnsi="Times New Roman" w:cs="Times New Roman"/>
          <w:i/>
          <w:sz w:val="24"/>
          <w:szCs w:val="24"/>
        </w:rPr>
        <w:t xml:space="preserve"> modality of all courses is face-to-face</w:t>
      </w:r>
      <w:r w:rsidR="00CE2079">
        <w:rPr>
          <w:rStyle w:val="normaltextrun"/>
          <w:rFonts w:ascii="Times New Roman" w:eastAsia="Times New Roman" w:hAnsi="Times New Roman" w:cs="Times New Roman"/>
          <w:i/>
          <w:sz w:val="24"/>
          <w:szCs w:val="24"/>
        </w:rPr>
        <w:t xml:space="preserve"> or hybrid</w:t>
      </w:r>
      <w:r w:rsidRPr="004F4BA0">
        <w:rPr>
          <w:rStyle w:val="normaltextrun"/>
          <w:rFonts w:ascii="Times New Roman" w:eastAsia="Times New Roman" w:hAnsi="Times New Roman" w:cs="Times New Roman"/>
          <w:i/>
          <w:sz w:val="24"/>
          <w:szCs w:val="24"/>
        </w:rPr>
        <w:t>.</w:t>
      </w:r>
      <w:r w:rsidR="004A1C25" w:rsidRPr="004F4BA0">
        <w:rPr>
          <w:rStyle w:val="normaltextrun"/>
          <w:rFonts w:ascii="Times New Roman" w:eastAsia="Times New Roman" w:hAnsi="Times New Roman" w:cs="Times New Roman"/>
          <w:i/>
          <w:sz w:val="24"/>
          <w:szCs w:val="24"/>
        </w:rPr>
        <w:t xml:space="preserve"> </w:t>
      </w:r>
    </w:p>
    <w:p w:rsidR="007C2BFD" w:rsidRPr="004F4BA0" w:rsidRDefault="007C2BFD" w:rsidP="00F161B4">
      <w:pPr>
        <w:rPr>
          <w:rStyle w:val="normaltextrun"/>
          <w:rFonts w:ascii="Times New Roman" w:eastAsia="Times New Roman" w:hAnsi="Times New Roman" w:cs="Times New Roman"/>
          <w:i/>
          <w:sz w:val="24"/>
          <w:szCs w:val="24"/>
        </w:rPr>
      </w:pPr>
      <w:r w:rsidRPr="004F4BA0">
        <w:rPr>
          <w:rStyle w:val="normaltextrun"/>
          <w:rFonts w:ascii="Times New Roman" w:eastAsia="Times New Roman" w:hAnsi="Times New Roman" w:cs="Times New Roman"/>
          <w:i/>
          <w:sz w:val="24"/>
          <w:szCs w:val="24"/>
        </w:rPr>
        <w:t xml:space="preserve">A new tenure-track faculty began in </w:t>
      </w:r>
      <w:proofErr w:type="gramStart"/>
      <w:r w:rsidRPr="004F4BA0">
        <w:rPr>
          <w:rStyle w:val="normaltextrun"/>
          <w:rFonts w:ascii="Times New Roman" w:eastAsia="Times New Roman" w:hAnsi="Times New Roman" w:cs="Times New Roman"/>
          <w:i/>
          <w:sz w:val="24"/>
          <w:szCs w:val="24"/>
        </w:rPr>
        <w:t>Fall</w:t>
      </w:r>
      <w:proofErr w:type="gramEnd"/>
      <w:r w:rsidRPr="004F4BA0">
        <w:rPr>
          <w:rStyle w:val="normaltextrun"/>
          <w:rFonts w:ascii="Times New Roman" w:eastAsia="Times New Roman" w:hAnsi="Times New Roman" w:cs="Times New Roman"/>
          <w:i/>
          <w:sz w:val="24"/>
          <w:szCs w:val="24"/>
        </w:rPr>
        <w:t xml:space="preserve"> 2023.</w:t>
      </w:r>
    </w:p>
    <w:p w:rsidR="004A1C25" w:rsidRPr="004F4BA0" w:rsidRDefault="004A1C25" w:rsidP="00F161B4">
      <w:pPr>
        <w:rPr>
          <w:rStyle w:val="normaltextrun"/>
          <w:rFonts w:ascii="Times New Roman" w:eastAsia="Times New Roman" w:hAnsi="Times New Roman" w:cs="Times New Roman"/>
          <w:i/>
          <w:sz w:val="24"/>
          <w:szCs w:val="24"/>
        </w:rPr>
      </w:pPr>
      <w:r w:rsidRPr="004F4BA0">
        <w:rPr>
          <w:rStyle w:val="normaltextrun"/>
          <w:rFonts w:ascii="Times New Roman" w:eastAsia="Times New Roman" w:hAnsi="Times New Roman" w:cs="Times New Roman"/>
          <w:i/>
          <w:sz w:val="24"/>
          <w:szCs w:val="24"/>
        </w:rPr>
        <w:t xml:space="preserve">Returning to traditional practices after the pandemic has been challenging. To better support students, an action plan for clear and consistent communication has been created. </w:t>
      </w:r>
    </w:p>
    <w:p w:rsidR="007C2BFD" w:rsidRPr="004F4BA0" w:rsidRDefault="007C2BFD" w:rsidP="00F161B4">
      <w:pPr>
        <w:rPr>
          <w:rStyle w:val="normaltextrun"/>
          <w:rFonts w:ascii="Times New Roman" w:eastAsia="Times New Roman" w:hAnsi="Times New Roman" w:cs="Times New Roman"/>
          <w:i/>
          <w:sz w:val="24"/>
          <w:szCs w:val="24"/>
        </w:rPr>
      </w:pPr>
      <w:r w:rsidRPr="004F4BA0">
        <w:rPr>
          <w:rStyle w:val="normaltextrun"/>
          <w:rFonts w:ascii="Times New Roman" w:eastAsia="Times New Roman" w:hAnsi="Times New Roman" w:cs="Times New Roman"/>
          <w:i/>
          <w:sz w:val="24"/>
          <w:szCs w:val="24"/>
        </w:rPr>
        <w:t xml:space="preserve">The program has updated its Licensed Professional Clinical Counselor education program identification with the California Board of Behavioral Sciences. This certifies that the Rehabilitation Counseling option meets education requirements for obtaining a LPCC license. </w:t>
      </w:r>
    </w:p>
    <w:p w:rsidR="007C2BFD" w:rsidRDefault="000B0A00" w:rsidP="00F161B4">
      <w:pPr>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b/>
          <w:sz w:val="24"/>
          <w:szCs w:val="24"/>
        </w:rPr>
        <w:t xml:space="preserve">I. </w:t>
      </w:r>
      <w:r w:rsidR="001B26C1" w:rsidRPr="00B943C3">
        <w:rPr>
          <w:rStyle w:val="normaltextrun"/>
          <w:rFonts w:ascii="Times New Roman" w:eastAsia="Times New Roman" w:hAnsi="Times New Roman" w:cs="Times New Roman"/>
          <w:b/>
          <w:sz w:val="24"/>
          <w:szCs w:val="24"/>
        </w:rPr>
        <w:t>Student Assessment Data</w:t>
      </w:r>
      <w:r w:rsidR="009F4EFC">
        <w:rPr>
          <w:rStyle w:val="normaltextrun"/>
          <w:rFonts w:ascii="Times New Roman" w:eastAsia="Times New Roman" w:hAnsi="Times New Roman" w:cs="Times New Roman"/>
          <w:sz w:val="24"/>
          <w:szCs w:val="24"/>
        </w:rPr>
        <w:t xml:space="preserve"> (entering 2021 and graduating 2024</w:t>
      </w:r>
      <w:r w:rsidR="00ED17CA" w:rsidRPr="00B943C3">
        <w:rPr>
          <w:rStyle w:val="normaltextrun"/>
          <w:rFonts w:ascii="Times New Roman" w:eastAsia="Times New Roman" w:hAnsi="Times New Roman" w:cs="Times New Roman"/>
          <w:sz w:val="24"/>
          <w:szCs w:val="24"/>
        </w:rPr>
        <w:t>)</w:t>
      </w:r>
      <w:r w:rsidR="005F2841" w:rsidRPr="00B943C3">
        <w:rPr>
          <w:rStyle w:val="normaltextrun"/>
          <w:rFonts w:ascii="Times New Roman" w:eastAsia="Times New Roman" w:hAnsi="Times New Roman" w:cs="Times New Roman"/>
          <w:sz w:val="24"/>
          <w:szCs w:val="24"/>
        </w:rPr>
        <w:t>:</w:t>
      </w:r>
    </w:p>
    <w:p w:rsidR="00F5586D" w:rsidRDefault="00F5586D" w:rsidP="00F161B4">
      <w:pPr>
        <w:rPr>
          <w:rStyle w:val="normaltextrun"/>
          <w:rFonts w:ascii="Times New Roman" w:eastAsia="Times New Roman" w:hAnsi="Times New Roman" w:cs="Times New Roman"/>
          <w:i/>
          <w:sz w:val="24"/>
          <w:szCs w:val="24"/>
        </w:rPr>
      </w:pPr>
      <w:r w:rsidRPr="00F5586D">
        <w:rPr>
          <w:rStyle w:val="normaltextrun"/>
          <w:rFonts w:ascii="Times New Roman" w:eastAsia="Times New Roman" w:hAnsi="Times New Roman" w:cs="Times New Roman"/>
          <w:i/>
          <w:sz w:val="24"/>
          <w:szCs w:val="24"/>
        </w:rPr>
        <w:t xml:space="preserve">The comprehensive exam </w:t>
      </w:r>
      <w:r>
        <w:rPr>
          <w:rStyle w:val="normaltextrun"/>
          <w:rFonts w:ascii="Times New Roman" w:eastAsia="Times New Roman" w:hAnsi="Times New Roman" w:cs="Times New Roman"/>
          <w:i/>
          <w:sz w:val="24"/>
          <w:szCs w:val="24"/>
        </w:rPr>
        <w:t xml:space="preserve">is structured to provide information on specific aspects of the program content. </w:t>
      </w:r>
      <w:r w:rsidR="00D933E0">
        <w:rPr>
          <w:rStyle w:val="normaltextrun"/>
          <w:rFonts w:ascii="Times New Roman" w:eastAsia="Times New Roman" w:hAnsi="Times New Roman" w:cs="Times New Roman"/>
          <w:i/>
          <w:sz w:val="24"/>
          <w:szCs w:val="24"/>
        </w:rPr>
        <w:t>In 2024, all students passed the exam. T</w:t>
      </w:r>
      <w:r>
        <w:rPr>
          <w:rStyle w:val="normaltextrun"/>
          <w:rFonts w:ascii="Times New Roman" w:eastAsia="Times New Roman" w:hAnsi="Times New Roman" w:cs="Times New Roman"/>
          <w:i/>
          <w:sz w:val="24"/>
          <w:szCs w:val="24"/>
        </w:rPr>
        <w:t>he overall pattern of strengths and weaknesses is described below.</w:t>
      </w:r>
    </w:p>
    <w:tbl>
      <w:tblPr>
        <w:tblStyle w:val="TableGrid"/>
        <w:tblW w:w="0" w:type="auto"/>
        <w:tblLook w:val="04A0" w:firstRow="1" w:lastRow="0" w:firstColumn="1" w:lastColumn="0" w:noHBand="0" w:noVBand="1"/>
      </w:tblPr>
      <w:tblGrid>
        <w:gridCol w:w="6112"/>
        <w:gridCol w:w="1030"/>
        <w:gridCol w:w="1029"/>
        <w:gridCol w:w="990"/>
      </w:tblGrid>
      <w:tr w:rsidR="0032163D" w:rsidTr="00884C42">
        <w:trPr>
          <w:trHeight w:val="267"/>
        </w:trPr>
        <w:tc>
          <w:tcPr>
            <w:tcW w:w="6112" w:type="dxa"/>
          </w:tcPr>
          <w:tbl>
            <w:tblPr>
              <w:tblW w:w="5867" w:type="dxa"/>
              <w:tblInd w:w="13" w:type="dxa"/>
              <w:tblLook w:val="04A0" w:firstRow="1" w:lastRow="0" w:firstColumn="1" w:lastColumn="0" w:noHBand="0" w:noVBand="1"/>
            </w:tblPr>
            <w:tblGrid>
              <w:gridCol w:w="1085"/>
              <w:gridCol w:w="797"/>
              <w:gridCol w:w="797"/>
              <w:gridCol w:w="797"/>
              <w:gridCol w:w="797"/>
              <w:gridCol w:w="797"/>
              <w:gridCol w:w="797"/>
            </w:tblGrid>
            <w:tr w:rsidR="0032163D" w:rsidRPr="0032163D" w:rsidTr="0032163D">
              <w:trPr>
                <w:trHeight w:val="267"/>
              </w:trPr>
              <w:tc>
                <w:tcPr>
                  <w:tcW w:w="1085" w:type="dxa"/>
                  <w:tcBorders>
                    <w:top w:val="nil"/>
                    <w:left w:val="nil"/>
                    <w:bottom w:val="nil"/>
                    <w:right w:val="nil"/>
                  </w:tcBorders>
                  <w:shd w:val="clear" w:color="auto" w:fill="auto"/>
                  <w:noWrap/>
                  <w:vAlign w:val="bottom"/>
                  <w:hideMark/>
                </w:tcPr>
                <w:p w:rsidR="0032163D" w:rsidRPr="0032163D" w:rsidRDefault="0032163D" w:rsidP="0032163D">
                  <w:pPr>
                    <w:spacing w:after="0" w:line="240" w:lineRule="auto"/>
                    <w:rPr>
                      <w:rFonts w:ascii="Calibri" w:eastAsia="Times New Roman" w:hAnsi="Calibri" w:cs="Calibri"/>
                      <w:color w:val="000000"/>
                      <w:lang w:eastAsia="en-US"/>
                    </w:rPr>
                  </w:pPr>
                </w:p>
              </w:tc>
              <w:tc>
                <w:tcPr>
                  <w:tcW w:w="797" w:type="dxa"/>
                  <w:tcBorders>
                    <w:top w:val="nil"/>
                    <w:left w:val="nil"/>
                    <w:bottom w:val="nil"/>
                    <w:right w:val="nil"/>
                  </w:tcBorders>
                  <w:shd w:val="clear" w:color="auto" w:fill="auto"/>
                  <w:noWrap/>
                  <w:vAlign w:val="bottom"/>
                  <w:hideMark/>
                </w:tcPr>
                <w:p w:rsidR="0032163D" w:rsidRPr="0032163D" w:rsidRDefault="0032163D" w:rsidP="0032163D">
                  <w:pPr>
                    <w:spacing w:after="0" w:line="240" w:lineRule="auto"/>
                    <w:rPr>
                      <w:rFonts w:ascii="Calibri" w:eastAsia="Times New Roman" w:hAnsi="Calibri" w:cs="Calibri"/>
                      <w:color w:val="000000"/>
                      <w:lang w:eastAsia="en-US"/>
                    </w:rPr>
                  </w:pPr>
                </w:p>
              </w:tc>
              <w:tc>
                <w:tcPr>
                  <w:tcW w:w="797" w:type="dxa"/>
                  <w:tcBorders>
                    <w:top w:val="nil"/>
                    <w:left w:val="nil"/>
                    <w:bottom w:val="nil"/>
                    <w:right w:val="nil"/>
                  </w:tcBorders>
                  <w:shd w:val="clear" w:color="auto" w:fill="auto"/>
                  <w:noWrap/>
                  <w:vAlign w:val="bottom"/>
                  <w:hideMark/>
                </w:tcPr>
                <w:p w:rsidR="0032163D" w:rsidRPr="0032163D" w:rsidRDefault="0032163D" w:rsidP="0032163D">
                  <w:pPr>
                    <w:spacing w:after="0" w:line="240" w:lineRule="auto"/>
                    <w:rPr>
                      <w:rFonts w:ascii="Calibri" w:eastAsia="Times New Roman" w:hAnsi="Calibri" w:cs="Calibri"/>
                      <w:color w:val="000000"/>
                      <w:lang w:eastAsia="en-US"/>
                    </w:rPr>
                  </w:pPr>
                </w:p>
              </w:tc>
              <w:tc>
                <w:tcPr>
                  <w:tcW w:w="797" w:type="dxa"/>
                  <w:tcBorders>
                    <w:top w:val="nil"/>
                    <w:left w:val="nil"/>
                    <w:bottom w:val="nil"/>
                    <w:right w:val="nil"/>
                  </w:tcBorders>
                  <w:shd w:val="clear" w:color="auto" w:fill="auto"/>
                  <w:noWrap/>
                  <w:vAlign w:val="bottom"/>
                  <w:hideMark/>
                </w:tcPr>
                <w:p w:rsidR="0032163D" w:rsidRPr="0032163D" w:rsidRDefault="0032163D" w:rsidP="0032163D">
                  <w:pPr>
                    <w:spacing w:after="0" w:line="240" w:lineRule="auto"/>
                    <w:rPr>
                      <w:rFonts w:ascii="Calibri" w:eastAsia="Times New Roman" w:hAnsi="Calibri" w:cs="Calibri"/>
                      <w:color w:val="000000"/>
                      <w:lang w:eastAsia="en-US"/>
                    </w:rPr>
                  </w:pPr>
                </w:p>
              </w:tc>
              <w:tc>
                <w:tcPr>
                  <w:tcW w:w="797" w:type="dxa"/>
                  <w:tcBorders>
                    <w:top w:val="nil"/>
                    <w:left w:val="nil"/>
                    <w:bottom w:val="nil"/>
                    <w:right w:val="nil"/>
                  </w:tcBorders>
                  <w:shd w:val="clear" w:color="auto" w:fill="auto"/>
                  <w:noWrap/>
                  <w:vAlign w:val="bottom"/>
                  <w:hideMark/>
                </w:tcPr>
                <w:p w:rsidR="0032163D" w:rsidRPr="0032163D" w:rsidRDefault="0032163D" w:rsidP="0032163D">
                  <w:pPr>
                    <w:spacing w:after="0" w:line="240" w:lineRule="auto"/>
                    <w:rPr>
                      <w:rFonts w:ascii="Calibri" w:eastAsia="Times New Roman" w:hAnsi="Calibri" w:cs="Calibri"/>
                      <w:color w:val="000000"/>
                      <w:lang w:eastAsia="en-US"/>
                    </w:rPr>
                  </w:pPr>
                </w:p>
              </w:tc>
              <w:tc>
                <w:tcPr>
                  <w:tcW w:w="797" w:type="dxa"/>
                  <w:tcBorders>
                    <w:top w:val="nil"/>
                    <w:left w:val="nil"/>
                    <w:bottom w:val="nil"/>
                    <w:right w:val="nil"/>
                  </w:tcBorders>
                  <w:shd w:val="clear" w:color="auto" w:fill="auto"/>
                  <w:noWrap/>
                  <w:vAlign w:val="bottom"/>
                  <w:hideMark/>
                </w:tcPr>
                <w:p w:rsidR="0032163D" w:rsidRPr="0032163D" w:rsidRDefault="0032163D" w:rsidP="0032163D">
                  <w:pPr>
                    <w:spacing w:after="0" w:line="240" w:lineRule="auto"/>
                    <w:rPr>
                      <w:rFonts w:ascii="Calibri" w:eastAsia="Times New Roman" w:hAnsi="Calibri" w:cs="Calibri"/>
                      <w:color w:val="000000"/>
                      <w:lang w:eastAsia="en-US"/>
                    </w:rPr>
                  </w:pPr>
                </w:p>
              </w:tc>
              <w:tc>
                <w:tcPr>
                  <w:tcW w:w="797" w:type="dxa"/>
                  <w:tcBorders>
                    <w:top w:val="nil"/>
                    <w:left w:val="nil"/>
                    <w:bottom w:val="nil"/>
                    <w:right w:val="nil"/>
                  </w:tcBorders>
                  <w:shd w:val="clear" w:color="auto" w:fill="auto"/>
                  <w:noWrap/>
                  <w:vAlign w:val="bottom"/>
                  <w:hideMark/>
                </w:tcPr>
                <w:p w:rsidR="0032163D" w:rsidRPr="0032163D" w:rsidRDefault="0032163D" w:rsidP="0032163D">
                  <w:pPr>
                    <w:spacing w:after="0" w:line="240" w:lineRule="auto"/>
                    <w:rPr>
                      <w:rFonts w:ascii="Calibri" w:eastAsia="Times New Roman" w:hAnsi="Calibri" w:cs="Calibri"/>
                      <w:color w:val="000000"/>
                      <w:lang w:eastAsia="en-US"/>
                    </w:rPr>
                  </w:pPr>
                </w:p>
              </w:tc>
            </w:tr>
          </w:tbl>
          <w:p w:rsidR="0032163D" w:rsidRDefault="0032163D" w:rsidP="00F161B4">
            <w:pPr>
              <w:rPr>
                <w:rStyle w:val="normaltextrun"/>
                <w:rFonts w:ascii="Times New Roman" w:eastAsia="Times New Roman" w:hAnsi="Times New Roman" w:cs="Times New Roman"/>
                <w:sz w:val="24"/>
                <w:szCs w:val="24"/>
              </w:rPr>
            </w:pPr>
          </w:p>
        </w:tc>
        <w:tc>
          <w:tcPr>
            <w:tcW w:w="1030" w:type="dxa"/>
          </w:tcPr>
          <w:p w:rsidR="0032163D" w:rsidRDefault="0032163D" w:rsidP="00F161B4">
            <w:pPr>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Strength</w:t>
            </w:r>
          </w:p>
        </w:tc>
        <w:tc>
          <w:tcPr>
            <w:tcW w:w="1029" w:type="dxa"/>
          </w:tcPr>
          <w:p w:rsidR="0032163D" w:rsidRDefault="0032163D" w:rsidP="00F161B4">
            <w:pPr>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Average</w:t>
            </w:r>
          </w:p>
        </w:tc>
        <w:tc>
          <w:tcPr>
            <w:tcW w:w="990" w:type="dxa"/>
          </w:tcPr>
          <w:p w:rsidR="0032163D" w:rsidRDefault="0032163D" w:rsidP="00F161B4">
            <w:pPr>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Weaker</w:t>
            </w:r>
          </w:p>
        </w:tc>
      </w:tr>
      <w:tr w:rsidR="0032163D" w:rsidTr="00884C42">
        <w:trPr>
          <w:trHeight w:val="243"/>
        </w:trPr>
        <w:tc>
          <w:tcPr>
            <w:tcW w:w="6112" w:type="dxa"/>
          </w:tcPr>
          <w:p w:rsidR="0032163D" w:rsidRPr="0032163D" w:rsidRDefault="0032163D" w:rsidP="00F161B4">
            <w:pPr>
              <w:rPr>
                <w:rFonts w:ascii="Calibri" w:eastAsia="Times New Roman" w:hAnsi="Calibri" w:cs="Calibri"/>
                <w:color w:val="000000"/>
                <w:lang w:eastAsia="en-US"/>
              </w:rPr>
            </w:pPr>
            <w:r w:rsidRPr="0032163D">
              <w:rPr>
                <w:rFonts w:ascii="Calibri" w:eastAsia="Times New Roman" w:hAnsi="Calibri" w:cs="Calibri"/>
                <w:color w:val="000000"/>
                <w:lang w:eastAsia="en-US"/>
              </w:rPr>
              <w:t>1. Professional Counseling Orientation &amp; Ethical Practice</w:t>
            </w:r>
          </w:p>
        </w:tc>
        <w:tc>
          <w:tcPr>
            <w:tcW w:w="1030" w:type="dxa"/>
            <w:vAlign w:val="center"/>
          </w:tcPr>
          <w:p w:rsidR="0032163D" w:rsidRDefault="00884C42" w:rsidP="00884C42">
            <w:pPr>
              <w:jc w:val="center"/>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X</w:t>
            </w:r>
          </w:p>
        </w:tc>
        <w:tc>
          <w:tcPr>
            <w:tcW w:w="1029" w:type="dxa"/>
            <w:vAlign w:val="center"/>
          </w:tcPr>
          <w:p w:rsidR="0032163D" w:rsidRDefault="0032163D" w:rsidP="00884C42">
            <w:pPr>
              <w:jc w:val="center"/>
              <w:rPr>
                <w:rStyle w:val="normaltextrun"/>
                <w:rFonts w:ascii="Times New Roman" w:eastAsia="Times New Roman" w:hAnsi="Times New Roman" w:cs="Times New Roman"/>
                <w:sz w:val="24"/>
                <w:szCs w:val="24"/>
              </w:rPr>
            </w:pPr>
          </w:p>
        </w:tc>
        <w:tc>
          <w:tcPr>
            <w:tcW w:w="990" w:type="dxa"/>
            <w:vAlign w:val="center"/>
          </w:tcPr>
          <w:p w:rsidR="0032163D" w:rsidRDefault="0032163D" w:rsidP="00884C42">
            <w:pPr>
              <w:jc w:val="center"/>
              <w:rPr>
                <w:rStyle w:val="normaltextrun"/>
                <w:rFonts w:ascii="Times New Roman" w:eastAsia="Times New Roman" w:hAnsi="Times New Roman" w:cs="Times New Roman"/>
                <w:sz w:val="24"/>
                <w:szCs w:val="24"/>
              </w:rPr>
            </w:pPr>
          </w:p>
        </w:tc>
      </w:tr>
      <w:tr w:rsidR="0032163D" w:rsidTr="00884C42">
        <w:trPr>
          <w:trHeight w:val="254"/>
        </w:trPr>
        <w:tc>
          <w:tcPr>
            <w:tcW w:w="6112" w:type="dxa"/>
          </w:tcPr>
          <w:p w:rsidR="0032163D" w:rsidRDefault="0032163D" w:rsidP="00F161B4">
            <w:pPr>
              <w:rPr>
                <w:rStyle w:val="normaltextrun"/>
                <w:rFonts w:ascii="Times New Roman" w:eastAsia="Times New Roman" w:hAnsi="Times New Roman" w:cs="Times New Roman"/>
                <w:sz w:val="24"/>
                <w:szCs w:val="24"/>
              </w:rPr>
            </w:pPr>
            <w:r w:rsidRPr="0032163D">
              <w:rPr>
                <w:rFonts w:ascii="Calibri" w:eastAsia="Times New Roman" w:hAnsi="Calibri" w:cs="Calibri"/>
                <w:color w:val="000000"/>
                <w:lang w:eastAsia="en-US"/>
              </w:rPr>
              <w:t>2. Social &amp; Cultural Diversity (5103) (1836409)</w:t>
            </w:r>
          </w:p>
        </w:tc>
        <w:tc>
          <w:tcPr>
            <w:tcW w:w="1030" w:type="dxa"/>
            <w:vAlign w:val="center"/>
          </w:tcPr>
          <w:p w:rsidR="0032163D" w:rsidRDefault="00884C42" w:rsidP="00884C42">
            <w:pPr>
              <w:jc w:val="center"/>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X</w:t>
            </w:r>
          </w:p>
        </w:tc>
        <w:tc>
          <w:tcPr>
            <w:tcW w:w="1029" w:type="dxa"/>
            <w:vAlign w:val="center"/>
          </w:tcPr>
          <w:p w:rsidR="0032163D" w:rsidRDefault="0032163D" w:rsidP="00884C42">
            <w:pPr>
              <w:jc w:val="center"/>
              <w:rPr>
                <w:rStyle w:val="normaltextrun"/>
                <w:rFonts w:ascii="Times New Roman" w:eastAsia="Times New Roman" w:hAnsi="Times New Roman" w:cs="Times New Roman"/>
                <w:sz w:val="24"/>
                <w:szCs w:val="24"/>
              </w:rPr>
            </w:pPr>
          </w:p>
        </w:tc>
        <w:tc>
          <w:tcPr>
            <w:tcW w:w="990" w:type="dxa"/>
            <w:vAlign w:val="center"/>
          </w:tcPr>
          <w:p w:rsidR="0032163D" w:rsidRDefault="0032163D" w:rsidP="00884C42">
            <w:pPr>
              <w:jc w:val="center"/>
              <w:rPr>
                <w:rStyle w:val="normaltextrun"/>
                <w:rFonts w:ascii="Times New Roman" w:eastAsia="Times New Roman" w:hAnsi="Times New Roman" w:cs="Times New Roman"/>
                <w:sz w:val="24"/>
                <w:szCs w:val="24"/>
              </w:rPr>
            </w:pPr>
          </w:p>
        </w:tc>
      </w:tr>
      <w:tr w:rsidR="0032163D" w:rsidTr="00884C42">
        <w:trPr>
          <w:trHeight w:val="254"/>
        </w:trPr>
        <w:tc>
          <w:tcPr>
            <w:tcW w:w="6112" w:type="dxa"/>
          </w:tcPr>
          <w:p w:rsidR="0032163D" w:rsidRDefault="0032163D" w:rsidP="00F161B4">
            <w:pPr>
              <w:rPr>
                <w:rStyle w:val="normaltextrun"/>
                <w:rFonts w:ascii="Times New Roman" w:eastAsia="Times New Roman" w:hAnsi="Times New Roman" w:cs="Times New Roman"/>
                <w:sz w:val="24"/>
                <w:szCs w:val="24"/>
              </w:rPr>
            </w:pPr>
            <w:r w:rsidRPr="0032163D">
              <w:rPr>
                <w:rFonts w:ascii="Calibri" w:eastAsia="Times New Roman" w:hAnsi="Calibri" w:cs="Calibri"/>
                <w:color w:val="000000"/>
                <w:lang w:eastAsia="en-US"/>
              </w:rPr>
              <w:t>3. Human Growth &amp; Development (5000) (1836399)</w:t>
            </w:r>
          </w:p>
        </w:tc>
        <w:tc>
          <w:tcPr>
            <w:tcW w:w="1030" w:type="dxa"/>
            <w:vAlign w:val="center"/>
          </w:tcPr>
          <w:p w:rsidR="0032163D" w:rsidRDefault="0032163D" w:rsidP="00884C42">
            <w:pPr>
              <w:jc w:val="center"/>
              <w:rPr>
                <w:rStyle w:val="normaltextrun"/>
                <w:rFonts w:ascii="Times New Roman" w:eastAsia="Times New Roman" w:hAnsi="Times New Roman" w:cs="Times New Roman"/>
                <w:sz w:val="24"/>
                <w:szCs w:val="24"/>
              </w:rPr>
            </w:pPr>
          </w:p>
        </w:tc>
        <w:tc>
          <w:tcPr>
            <w:tcW w:w="1029" w:type="dxa"/>
            <w:vAlign w:val="center"/>
          </w:tcPr>
          <w:p w:rsidR="0032163D" w:rsidRDefault="004E5BB7" w:rsidP="00884C42">
            <w:pPr>
              <w:jc w:val="center"/>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X</w:t>
            </w:r>
          </w:p>
        </w:tc>
        <w:tc>
          <w:tcPr>
            <w:tcW w:w="990" w:type="dxa"/>
            <w:vAlign w:val="center"/>
          </w:tcPr>
          <w:p w:rsidR="0032163D" w:rsidRDefault="0032163D" w:rsidP="00884C42">
            <w:pPr>
              <w:jc w:val="center"/>
              <w:rPr>
                <w:rStyle w:val="normaltextrun"/>
                <w:rFonts w:ascii="Times New Roman" w:eastAsia="Times New Roman" w:hAnsi="Times New Roman" w:cs="Times New Roman"/>
                <w:sz w:val="24"/>
                <w:szCs w:val="24"/>
              </w:rPr>
            </w:pPr>
          </w:p>
        </w:tc>
      </w:tr>
      <w:tr w:rsidR="0032163D" w:rsidTr="00884C42">
        <w:trPr>
          <w:trHeight w:val="254"/>
        </w:trPr>
        <w:tc>
          <w:tcPr>
            <w:tcW w:w="6112" w:type="dxa"/>
          </w:tcPr>
          <w:p w:rsidR="0032163D" w:rsidRDefault="0032163D" w:rsidP="00F161B4">
            <w:pPr>
              <w:rPr>
                <w:rStyle w:val="normaltextrun"/>
                <w:rFonts w:ascii="Times New Roman" w:eastAsia="Times New Roman" w:hAnsi="Times New Roman" w:cs="Times New Roman"/>
                <w:sz w:val="24"/>
                <w:szCs w:val="24"/>
              </w:rPr>
            </w:pPr>
            <w:r w:rsidRPr="0032163D">
              <w:rPr>
                <w:rFonts w:ascii="Calibri" w:eastAsia="Times New Roman" w:hAnsi="Calibri" w:cs="Calibri"/>
                <w:color w:val="000000"/>
                <w:lang w:eastAsia="en-US"/>
              </w:rPr>
              <w:t>4. Career Development (5149) (1836400)</w:t>
            </w:r>
          </w:p>
        </w:tc>
        <w:tc>
          <w:tcPr>
            <w:tcW w:w="1030" w:type="dxa"/>
            <w:vAlign w:val="center"/>
          </w:tcPr>
          <w:p w:rsidR="0032163D" w:rsidRDefault="0032163D" w:rsidP="00884C42">
            <w:pPr>
              <w:jc w:val="center"/>
              <w:rPr>
                <w:rStyle w:val="normaltextrun"/>
                <w:rFonts w:ascii="Times New Roman" w:eastAsia="Times New Roman" w:hAnsi="Times New Roman" w:cs="Times New Roman"/>
                <w:sz w:val="24"/>
                <w:szCs w:val="24"/>
              </w:rPr>
            </w:pPr>
          </w:p>
        </w:tc>
        <w:tc>
          <w:tcPr>
            <w:tcW w:w="1029" w:type="dxa"/>
            <w:vAlign w:val="center"/>
          </w:tcPr>
          <w:p w:rsidR="0032163D" w:rsidRDefault="00884C42" w:rsidP="00884C42">
            <w:pPr>
              <w:jc w:val="center"/>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X</w:t>
            </w:r>
          </w:p>
        </w:tc>
        <w:tc>
          <w:tcPr>
            <w:tcW w:w="990" w:type="dxa"/>
            <w:vAlign w:val="center"/>
          </w:tcPr>
          <w:p w:rsidR="0032163D" w:rsidRDefault="0032163D" w:rsidP="00884C42">
            <w:pPr>
              <w:jc w:val="center"/>
              <w:rPr>
                <w:rStyle w:val="normaltextrun"/>
                <w:rFonts w:ascii="Times New Roman" w:eastAsia="Times New Roman" w:hAnsi="Times New Roman" w:cs="Times New Roman"/>
                <w:sz w:val="24"/>
                <w:szCs w:val="24"/>
              </w:rPr>
            </w:pPr>
          </w:p>
        </w:tc>
      </w:tr>
      <w:tr w:rsidR="0032163D" w:rsidTr="00884C42">
        <w:trPr>
          <w:trHeight w:val="254"/>
        </w:trPr>
        <w:tc>
          <w:tcPr>
            <w:tcW w:w="6112" w:type="dxa"/>
          </w:tcPr>
          <w:p w:rsidR="0032163D" w:rsidRDefault="0032163D" w:rsidP="0032163D">
            <w:pPr>
              <w:rPr>
                <w:rStyle w:val="normaltextrun"/>
                <w:rFonts w:ascii="Times New Roman" w:eastAsia="Times New Roman" w:hAnsi="Times New Roman" w:cs="Times New Roman"/>
                <w:sz w:val="24"/>
                <w:szCs w:val="24"/>
              </w:rPr>
            </w:pPr>
            <w:r>
              <w:rPr>
                <w:rFonts w:ascii="Calibri" w:eastAsia="Times New Roman" w:hAnsi="Calibri" w:cs="Calibri"/>
                <w:color w:val="000000"/>
                <w:lang w:eastAsia="en-US"/>
              </w:rPr>
              <w:t>5</w:t>
            </w:r>
            <w:r w:rsidRPr="0032163D">
              <w:rPr>
                <w:rFonts w:ascii="Calibri" w:eastAsia="Times New Roman" w:hAnsi="Calibri" w:cs="Calibri"/>
                <w:color w:val="000000"/>
                <w:lang w:eastAsia="en-US"/>
              </w:rPr>
              <w:t>. Counseling &amp; Helping Relationships: Microskills</w:t>
            </w:r>
          </w:p>
        </w:tc>
        <w:tc>
          <w:tcPr>
            <w:tcW w:w="1030" w:type="dxa"/>
            <w:vAlign w:val="center"/>
          </w:tcPr>
          <w:p w:rsidR="0032163D" w:rsidRDefault="0032163D" w:rsidP="00884C42">
            <w:pPr>
              <w:jc w:val="center"/>
              <w:rPr>
                <w:rStyle w:val="normaltextrun"/>
                <w:rFonts w:ascii="Times New Roman" w:eastAsia="Times New Roman" w:hAnsi="Times New Roman" w:cs="Times New Roman"/>
                <w:sz w:val="24"/>
                <w:szCs w:val="24"/>
              </w:rPr>
            </w:pPr>
          </w:p>
        </w:tc>
        <w:tc>
          <w:tcPr>
            <w:tcW w:w="1029" w:type="dxa"/>
            <w:vAlign w:val="center"/>
          </w:tcPr>
          <w:p w:rsidR="0032163D" w:rsidRDefault="004E5BB7" w:rsidP="00884C42">
            <w:pPr>
              <w:jc w:val="center"/>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X</w:t>
            </w:r>
          </w:p>
        </w:tc>
        <w:tc>
          <w:tcPr>
            <w:tcW w:w="990" w:type="dxa"/>
            <w:vAlign w:val="center"/>
          </w:tcPr>
          <w:p w:rsidR="0032163D" w:rsidRDefault="0032163D" w:rsidP="00884C42">
            <w:pPr>
              <w:jc w:val="center"/>
              <w:rPr>
                <w:rStyle w:val="normaltextrun"/>
                <w:rFonts w:ascii="Times New Roman" w:eastAsia="Times New Roman" w:hAnsi="Times New Roman" w:cs="Times New Roman"/>
                <w:sz w:val="24"/>
                <w:szCs w:val="24"/>
              </w:rPr>
            </w:pPr>
          </w:p>
        </w:tc>
      </w:tr>
      <w:tr w:rsidR="0032163D" w:rsidTr="00884C42">
        <w:trPr>
          <w:trHeight w:val="170"/>
        </w:trPr>
        <w:tc>
          <w:tcPr>
            <w:tcW w:w="6112" w:type="dxa"/>
          </w:tcPr>
          <w:p w:rsidR="0032163D" w:rsidRDefault="0032163D" w:rsidP="0032163D">
            <w:pPr>
              <w:rPr>
                <w:rStyle w:val="normaltextrun"/>
                <w:rFonts w:ascii="Times New Roman" w:eastAsia="Times New Roman" w:hAnsi="Times New Roman" w:cs="Times New Roman"/>
                <w:sz w:val="24"/>
                <w:szCs w:val="24"/>
              </w:rPr>
            </w:pPr>
            <w:r>
              <w:rPr>
                <w:rFonts w:ascii="Calibri" w:eastAsia="Times New Roman" w:hAnsi="Calibri" w:cs="Calibri"/>
                <w:color w:val="000000"/>
                <w:lang w:eastAsia="en-US"/>
              </w:rPr>
              <w:t>6</w:t>
            </w:r>
            <w:r w:rsidRPr="0032163D">
              <w:rPr>
                <w:rFonts w:ascii="Calibri" w:eastAsia="Times New Roman" w:hAnsi="Calibri" w:cs="Calibri"/>
                <w:color w:val="000000"/>
                <w:lang w:eastAsia="en-US"/>
              </w:rPr>
              <w:t xml:space="preserve">. Counseling &amp; Helping Relationships: Advanced Theories </w:t>
            </w:r>
          </w:p>
        </w:tc>
        <w:tc>
          <w:tcPr>
            <w:tcW w:w="1030" w:type="dxa"/>
            <w:vAlign w:val="center"/>
          </w:tcPr>
          <w:p w:rsidR="0032163D" w:rsidRDefault="0032163D" w:rsidP="00884C42">
            <w:pPr>
              <w:jc w:val="center"/>
              <w:rPr>
                <w:rStyle w:val="normaltextrun"/>
                <w:rFonts w:ascii="Times New Roman" w:eastAsia="Times New Roman" w:hAnsi="Times New Roman" w:cs="Times New Roman"/>
                <w:sz w:val="24"/>
                <w:szCs w:val="24"/>
              </w:rPr>
            </w:pPr>
          </w:p>
        </w:tc>
        <w:tc>
          <w:tcPr>
            <w:tcW w:w="1029" w:type="dxa"/>
            <w:vAlign w:val="center"/>
          </w:tcPr>
          <w:p w:rsidR="0032163D" w:rsidRDefault="0032163D" w:rsidP="00884C42">
            <w:pPr>
              <w:jc w:val="center"/>
              <w:rPr>
                <w:rStyle w:val="normaltextrun"/>
                <w:rFonts w:ascii="Times New Roman" w:eastAsia="Times New Roman" w:hAnsi="Times New Roman" w:cs="Times New Roman"/>
                <w:sz w:val="24"/>
                <w:szCs w:val="24"/>
              </w:rPr>
            </w:pPr>
          </w:p>
        </w:tc>
        <w:tc>
          <w:tcPr>
            <w:tcW w:w="990" w:type="dxa"/>
            <w:vAlign w:val="center"/>
          </w:tcPr>
          <w:p w:rsidR="0032163D" w:rsidRDefault="00884C42" w:rsidP="00884C42">
            <w:pPr>
              <w:jc w:val="center"/>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X</w:t>
            </w:r>
          </w:p>
        </w:tc>
      </w:tr>
      <w:tr w:rsidR="0032163D" w:rsidTr="00884C42">
        <w:trPr>
          <w:trHeight w:val="243"/>
        </w:trPr>
        <w:tc>
          <w:tcPr>
            <w:tcW w:w="6112" w:type="dxa"/>
          </w:tcPr>
          <w:p w:rsidR="0032163D" w:rsidRDefault="0032163D" w:rsidP="0032163D">
            <w:pPr>
              <w:rPr>
                <w:rStyle w:val="normaltextrun"/>
                <w:rFonts w:ascii="Times New Roman" w:eastAsia="Times New Roman" w:hAnsi="Times New Roman" w:cs="Times New Roman"/>
                <w:sz w:val="24"/>
                <w:szCs w:val="24"/>
              </w:rPr>
            </w:pPr>
            <w:r>
              <w:rPr>
                <w:rFonts w:ascii="Calibri" w:eastAsia="Times New Roman" w:hAnsi="Calibri" w:cs="Calibri"/>
                <w:color w:val="000000"/>
                <w:lang w:eastAsia="en-US"/>
              </w:rPr>
              <w:t>7</w:t>
            </w:r>
            <w:r w:rsidRPr="0032163D">
              <w:rPr>
                <w:rFonts w:ascii="Calibri" w:eastAsia="Times New Roman" w:hAnsi="Calibri" w:cs="Calibri"/>
                <w:color w:val="000000"/>
                <w:lang w:eastAsia="en-US"/>
              </w:rPr>
              <w:t xml:space="preserve">. Group Counseling &amp; Group Work </w:t>
            </w:r>
          </w:p>
        </w:tc>
        <w:tc>
          <w:tcPr>
            <w:tcW w:w="1030" w:type="dxa"/>
            <w:vAlign w:val="center"/>
          </w:tcPr>
          <w:p w:rsidR="0032163D" w:rsidRDefault="0032163D" w:rsidP="00884C42">
            <w:pPr>
              <w:jc w:val="center"/>
              <w:rPr>
                <w:rStyle w:val="normaltextrun"/>
                <w:rFonts w:ascii="Times New Roman" w:eastAsia="Times New Roman" w:hAnsi="Times New Roman" w:cs="Times New Roman"/>
                <w:sz w:val="24"/>
                <w:szCs w:val="24"/>
              </w:rPr>
            </w:pPr>
          </w:p>
        </w:tc>
        <w:tc>
          <w:tcPr>
            <w:tcW w:w="1029" w:type="dxa"/>
            <w:vAlign w:val="center"/>
          </w:tcPr>
          <w:p w:rsidR="0032163D" w:rsidRDefault="0032163D" w:rsidP="00884C42">
            <w:pPr>
              <w:jc w:val="center"/>
              <w:rPr>
                <w:rStyle w:val="normaltextrun"/>
                <w:rFonts w:ascii="Times New Roman" w:eastAsia="Times New Roman" w:hAnsi="Times New Roman" w:cs="Times New Roman"/>
                <w:sz w:val="24"/>
                <w:szCs w:val="24"/>
              </w:rPr>
            </w:pPr>
          </w:p>
        </w:tc>
        <w:tc>
          <w:tcPr>
            <w:tcW w:w="990" w:type="dxa"/>
            <w:vAlign w:val="center"/>
          </w:tcPr>
          <w:p w:rsidR="0032163D" w:rsidRDefault="00884C42" w:rsidP="00884C42">
            <w:pPr>
              <w:jc w:val="center"/>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X</w:t>
            </w:r>
          </w:p>
        </w:tc>
      </w:tr>
      <w:tr w:rsidR="0032163D" w:rsidTr="00884C42">
        <w:trPr>
          <w:trHeight w:val="254"/>
        </w:trPr>
        <w:tc>
          <w:tcPr>
            <w:tcW w:w="6112" w:type="dxa"/>
          </w:tcPr>
          <w:p w:rsidR="0032163D" w:rsidRDefault="0032163D" w:rsidP="0032163D">
            <w:pPr>
              <w:rPr>
                <w:rStyle w:val="normaltextrun"/>
                <w:rFonts w:ascii="Times New Roman" w:eastAsia="Times New Roman" w:hAnsi="Times New Roman" w:cs="Times New Roman"/>
                <w:sz w:val="24"/>
                <w:szCs w:val="24"/>
              </w:rPr>
            </w:pPr>
            <w:r>
              <w:rPr>
                <w:rFonts w:ascii="Calibri" w:eastAsia="Times New Roman" w:hAnsi="Calibri" w:cs="Calibri"/>
                <w:color w:val="000000"/>
                <w:lang w:eastAsia="en-US"/>
              </w:rPr>
              <w:t>8</w:t>
            </w:r>
            <w:r w:rsidRPr="0032163D">
              <w:rPr>
                <w:rFonts w:ascii="Calibri" w:eastAsia="Times New Roman" w:hAnsi="Calibri" w:cs="Calibri"/>
                <w:color w:val="000000"/>
                <w:lang w:eastAsia="en-US"/>
              </w:rPr>
              <w:t>. Assessment &amp; Testing</w:t>
            </w:r>
          </w:p>
        </w:tc>
        <w:tc>
          <w:tcPr>
            <w:tcW w:w="1030" w:type="dxa"/>
            <w:vAlign w:val="center"/>
          </w:tcPr>
          <w:p w:rsidR="0032163D" w:rsidRDefault="0032163D" w:rsidP="00884C42">
            <w:pPr>
              <w:jc w:val="center"/>
              <w:rPr>
                <w:rStyle w:val="normaltextrun"/>
                <w:rFonts w:ascii="Times New Roman" w:eastAsia="Times New Roman" w:hAnsi="Times New Roman" w:cs="Times New Roman"/>
                <w:sz w:val="24"/>
                <w:szCs w:val="24"/>
              </w:rPr>
            </w:pPr>
          </w:p>
        </w:tc>
        <w:tc>
          <w:tcPr>
            <w:tcW w:w="1029" w:type="dxa"/>
            <w:vAlign w:val="center"/>
          </w:tcPr>
          <w:p w:rsidR="0032163D" w:rsidRDefault="00884C42" w:rsidP="00884C42">
            <w:pPr>
              <w:jc w:val="center"/>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X</w:t>
            </w:r>
          </w:p>
        </w:tc>
        <w:tc>
          <w:tcPr>
            <w:tcW w:w="990" w:type="dxa"/>
            <w:vAlign w:val="center"/>
          </w:tcPr>
          <w:p w:rsidR="0032163D" w:rsidRDefault="0032163D" w:rsidP="00884C42">
            <w:pPr>
              <w:jc w:val="center"/>
              <w:rPr>
                <w:rStyle w:val="normaltextrun"/>
                <w:rFonts w:ascii="Times New Roman" w:eastAsia="Times New Roman" w:hAnsi="Times New Roman" w:cs="Times New Roman"/>
                <w:sz w:val="24"/>
                <w:szCs w:val="24"/>
              </w:rPr>
            </w:pPr>
          </w:p>
        </w:tc>
      </w:tr>
      <w:tr w:rsidR="0032163D" w:rsidTr="00884C42">
        <w:trPr>
          <w:trHeight w:val="254"/>
        </w:trPr>
        <w:tc>
          <w:tcPr>
            <w:tcW w:w="6112" w:type="dxa"/>
          </w:tcPr>
          <w:p w:rsidR="0032163D" w:rsidRDefault="0032163D" w:rsidP="0032163D">
            <w:pPr>
              <w:rPr>
                <w:rStyle w:val="normaltextrun"/>
                <w:rFonts w:ascii="Times New Roman" w:eastAsia="Times New Roman" w:hAnsi="Times New Roman" w:cs="Times New Roman"/>
                <w:sz w:val="24"/>
                <w:szCs w:val="24"/>
              </w:rPr>
            </w:pPr>
            <w:r>
              <w:rPr>
                <w:rFonts w:ascii="Calibri" w:eastAsia="Times New Roman" w:hAnsi="Calibri" w:cs="Calibri"/>
                <w:color w:val="000000"/>
                <w:lang w:eastAsia="en-US"/>
              </w:rPr>
              <w:t>9</w:t>
            </w:r>
            <w:r w:rsidRPr="0032163D">
              <w:rPr>
                <w:rFonts w:ascii="Calibri" w:eastAsia="Times New Roman" w:hAnsi="Calibri" w:cs="Calibri"/>
                <w:color w:val="000000"/>
                <w:lang w:eastAsia="en-US"/>
              </w:rPr>
              <w:t>. Research &amp; Program Evaluation</w:t>
            </w:r>
          </w:p>
        </w:tc>
        <w:tc>
          <w:tcPr>
            <w:tcW w:w="1030" w:type="dxa"/>
            <w:vAlign w:val="center"/>
          </w:tcPr>
          <w:p w:rsidR="0032163D" w:rsidRDefault="0032163D" w:rsidP="00884C42">
            <w:pPr>
              <w:jc w:val="center"/>
              <w:rPr>
                <w:rStyle w:val="normaltextrun"/>
                <w:rFonts w:ascii="Times New Roman" w:eastAsia="Times New Roman" w:hAnsi="Times New Roman" w:cs="Times New Roman"/>
                <w:sz w:val="24"/>
                <w:szCs w:val="24"/>
              </w:rPr>
            </w:pPr>
          </w:p>
        </w:tc>
        <w:tc>
          <w:tcPr>
            <w:tcW w:w="1029" w:type="dxa"/>
            <w:vAlign w:val="center"/>
          </w:tcPr>
          <w:p w:rsidR="0032163D" w:rsidRDefault="00884C42" w:rsidP="00884C42">
            <w:pPr>
              <w:jc w:val="center"/>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X</w:t>
            </w:r>
          </w:p>
        </w:tc>
        <w:tc>
          <w:tcPr>
            <w:tcW w:w="990" w:type="dxa"/>
            <w:vAlign w:val="center"/>
          </w:tcPr>
          <w:p w:rsidR="0032163D" w:rsidRDefault="0032163D" w:rsidP="00884C42">
            <w:pPr>
              <w:jc w:val="center"/>
              <w:rPr>
                <w:rStyle w:val="normaltextrun"/>
                <w:rFonts w:ascii="Times New Roman" w:eastAsia="Times New Roman" w:hAnsi="Times New Roman" w:cs="Times New Roman"/>
                <w:sz w:val="24"/>
                <w:szCs w:val="24"/>
              </w:rPr>
            </w:pPr>
          </w:p>
        </w:tc>
      </w:tr>
    </w:tbl>
    <w:p w:rsidR="001B26C1" w:rsidRPr="00B943C3" w:rsidRDefault="001B26C1" w:rsidP="00F5586D">
      <w:pPr>
        <w:jc w:val="both"/>
        <w:rPr>
          <w:rStyle w:val="normaltextrun"/>
          <w:rFonts w:ascii="Times New Roman" w:eastAsia="Times New Roman" w:hAnsi="Times New Roman" w:cs="Times New Roman"/>
          <w:sz w:val="24"/>
          <w:szCs w:val="24"/>
        </w:rPr>
      </w:pPr>
    </w:p>
    <w:p w:rsidR="00266BA7" w:rsidRDefault="000B0A00" w:rsidP="00F161B4">
      <w:pPr>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b/>
          <w:sz w:val="24"/>
          <w:szCs w:val="24"/>
        </w:rPr>
        <w:t xml:space="preserve">II. </w:t>
      </w:r>
      <w:r w:rsidR="00F161B4" w:rsidRPr="00B943C3">
        <w:rPr>
          <w:rStyle w:val="normaltextrun"/>
          <w:rFonts w:ascii="Times New Roman" w:eastAsia="Times New Roman" w:hAnsi="Times New Roman" w:cs="Times New Roman"/>
          <w:b/>
          <w:sz w:val="24"/>
          <w:szCs w:val="24"/>
        </w:rPr>
        <w:t>Number of graduates for the past academic year</w:t>
      </w:r>
      <w:r w:rsidR="009F4EFC">
        <w:rPr>
          <w:rStyle w:val="normaltextrun"/>
          <w:rFonts w:ascii="Times New Roman" w:eastAsia="Times New Roman" w:hAnsi="Times New Roman" w:cs="Times New Roman"/>
          <w:sz w:val="24"/>
          <w:szCs w:val="24"/>
        </w:rPr>
        <w:t xml:space="preserve"> (entering 2021 and graduating 2024</w:t>
      </w:r>
      <w:r w:rsidR="005F2841" w:rsidRPr="00B943C3">
        <w:rPr>
          <w:rStyle w:val="normaltextrun"/>
          <w:rFonts w:ascii="Times New Roman" w:eastAsia="Times New Roman" w:hAnsi="Times New Roman" w:cs="Times New Roman"/>
          <w:sz w:val="24"/>
          <w:szCs w:val="24"/>
        </w:rPr>
        <w:t>):</w:t>
      </w:r>
      <w:r w:rsidR="00F161B4" w:rsidRPr="00B943C3">
        <w:rPr>
          <w:rStyle w:val="scxo207660072"/>
          <w:rFonts w:ascii="Times New Roman" w:eastAsia="Times New Roman" w:hAnsi="Times New Roman" w:cs="Times New Roman"/>
          <w:sz w:val="24"/>
          <w:szCs w:val="24"/>
        </w:rPr>
        <w:t> </w:t>
      </w:r>
    </w:p>
    <w:p w:rsidR="009F4EFC" w:rsidRPr="00266BA7" w:rsidRDefault="009F4EFC" w:rsidP="00F161B4">
      <w:pPr>
        <w:rPr>
          <w:rStyle w:val="normaltextrun"/>
          <w:rFonts w:ascii="Times New Roman" w:eastAsia="Times New Roman" w:hAnsi="Times New Roman" w:cs="Times New Roman"/>
          <w:i/>
          <w:sz w:val="24"/>
          <w:szCs w:val="24"/>
        </w:rPr>
      </w:pPr>
      <w:r w:rsidRPr="00266BA7">
        <w:rPr>
          <w:rStyle w:val="normaltextrun"/>
          <w:rFonts w:ascii="Times New Roman" w:eastAsia="Times New Roman" w:hAnsi="Times New Roman" w:cs="Times New Roman"/>
          <w:i/>
          <w:sz w:val="24"/>
          <w:szCs w:val="24"/>
        </w:rPr>
        <w:t>Twenty-five students graduated in 2024,</w:t>
      </w:r>
      <w:r w:rsidR="00266BA7" w:rsidRPr="00266BA7">
        <w:rPr>
          <w:rStyle w:val="normaltextrun"/>
          <w:rFonts w:ascii="Times New Roman" w:eastAsia="Times New Roman" w:hAnsi="Times New Roman" w:cs="Times New Roman"/>
          <w:i/>
          <w:sz w:val="24"/>
          <w:szCs w:val="24"/>
        </w:rPr>
        <w:t xml:space="preserve"> including students from 2019 and 2020 cohorts.</w:t>
      </w:r>
    </w:p>
    <w:p w:rsidR="004E5BB7" w:rsidRDefault="000B0A00" w:rsidP="00F161B4">
      <w:pPr>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b/>
          <w:sz w:val="24"/>
          <w:szCs w:val="24"/>
        </w:rPr>
        <w:t xml:space="preserve">III. </w:t>
      </w:r>
      <w:r w:rsidR="00F161B4" w:rsidRPr="00B943C3">
        <w:rPr>
          <w:rStyle w:val="normaltextrun"/>
          <w:rFonts w:ascii="Times New Roman" w:eastAsia="Times New Roman" w:hAnsi="Times New Roman" w:cs="Times New Roman"/>
          <w:b/>
          <w:sz w:val="24"/>
          <w:szCs w:val="24"/>
        </w:rPr>
        <w:t>Pass rates on credentialing exams</w:t>
      </w:r>
      <w:r w:rsidR="009F4EFC">
        <w:rPr>
          <w:rStyle w:val="normaltextrun"/>
          <w:rFonts w:ascii="Times New Roman" w:eastAsia="Times New Roman" w:hAnsi="Times New Roman" w:cs="Times New Roman"/>
          <w:sz w:val="24"/>
          <w:szCs w:val="24"/>
        </w:rPr>
        <w:t xml:space="preserve"> (entering 2021 and graduating 2024</w:t>
      </w:r>
      <w:r w:rsidR="00ED17CA" w:rsidRPr="00B943C3">
        <w:rPr>
          <w:rStyle w:val="normaltextrun"/>
          <w:rFonts w:ascii="Times New Roman" w:eastAsia="Times New Roman" w:hAnsi="Times New Roman" w:cs="Times New Roman"/>
          <w:sz w:val="24"/>
          <w:szCs w:val="24"/>
        </w:rPr>
        <w:t>)</w:t>
      </w:r>
      <w:r w:rsidR="005F2841" w:rsidRPr="00B943C3">
        <w:rPr>
          <w:rStyle w:val="scxo207660072"/>
          <w:rFonts w:ascii="Times New Roman" w:eastAsia="Times New Roman" w:hAnsi="Times New Roman" w:cs="Times New Roman"/>
          <w:sz w:val="24"/>
          <w:szCs w:val="24"/>
        </w:rPr>
        <w:t>:</w:t>
      </w:r>
      <w:r w:rsidR="00F161B4" w:rsidRPr="00B943C3">
        <w:rPr>
          <w:rFonts w:ascii="Times New Roman" w:eastAsia="Times New Roman" w:hAnsi="Times New Roman" w:cs="Times New Roman"/>
          <w:sz w:val="24"/>
          <w:szCs w:val="24"/>
        </w:rPr>
        <w:br/>
      </w:r>
    </w:p>
    <w:p w:rsidR="00F161B4" w:rsidRPr="004E5BB7" w:rsidRDefault="009B5163" w:rsidP="00F161B4">
      <w:pPr>
        <w:rPr>
          <w:rStyle w:val="normaltextrun"/>
          <w:rFonts w:ascii="Times New Roman" w:eastAsia="Times New Roman" w:hAnsi="Times New Roman" w:cs="Times New Roman"/>
          <w:i/>
          <w:sz w:val="24"/>
          <w:szCs w:val="24"/>
        </w:rPr>
      </w:pPr>
      <w:r w:rsidRPr="004E5BB7">
        <w:rPr>
          <w:rStyle w:val="normaltextrun"/>
          <w:rFonts w:ascii="Times New Roman" w:eastAsia="Times New Roman" w:hAnsi="Times New Roman" w:cs="Times New Roman"/>
          <w:i/>
          <w:sz w:val="24"/>
          <w:szCs w:val="24"/>
        </w:rPr>
        <w:t xml:space="preserve">None of the graduating students have attempted a credentialing exam; however, 55% indicated they plan to pursue becoming a Certified Rehabilitation Counselor, 36% will pursue becoming a Licensed Professional Clinical Counselor, and 9% will pursue becoming a Licensed Marriage and Family Counselor. </w:t>
      </w:r>
    </w:p>
    <w:p w:rsidR="004E5BB7" w:rsidRDefault="004E5BB7" w:rsidP="00F161B4">
      <w:pPr>
        <w:rPr>
          <w:rStyle w:val="normaltextrun"/>
          <w:rFonts w:ascii="Times New Roman" w:eastAsia="Times New Roman" w:hAnsi="Times New Roman" w:cs="Times New Roman"/>
          <w:b/>
          <w:sz w:val="24"/>
          <w:szCs w:val="24"/>
        </w:rPr>
      </w:pPr>
    </w:p>
    <w:p w:rsidR="00FB2AA3" w:rsidRDefault="000B0A00" w:rsidP="00F161B4">
      <w:pPr>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b/>
          <w:sz w:val="24"/>
          <w:szCs w:val="24"/>
        </w:rPr>
        <w:lastRenderedPageBreak/>
        <w:t xml:space="preserve">IV. </w:t>
      </w:r>
      <w:r w:rsidR="00F161B4" w:rsidRPr="00B943C3">
        <w:rPr>
          <w:rStyle w:val="normaltextrun"/>
          <w:rFonts w:ascii="Times New Roman" w:eastAsia="Times New Roman" w:hAnsi="Times New Roman" w:cs="Times New Roman"/>
          <w:b/>
          <w:sz w:val="24"/>
          <w:szCs w:val="24"/>
        </w:rPr>
        <w:t>Completion rates</w:t>
      </w:r>
      <w:r w:rsidR="009F4EFC">
        <w:rPr>
          <w:rStyle w:val="normaltextrun"/>
          <w:rFonts w:ascii="Times New Roman" w:eastAsia="Times New Roman" w:hAnsi="Times New Roman" w:cs="Times New Roman"/>
          <w:sz w:val="24"/>
          <w:szCs w:val="24"/>
        </w:rPr>
        <w:t xml:space="preserve"> (entering 2021 and graduating 2024</w:t>
      </w:r>
      <w:r w:rsidR="000F34B2" w:rsidRPr="00B943C3">
        <w:rPr>
          <w:rStyle w:val="normaltextrun"/>
          <w:rFonts w:ascii="Times New Roman" w:eastAsia="Times New Roman" w:hAnsi="Times New Roman" w:cs="Times New Roman"/>
          <w:sz w:val="24"/>
          <w:szCs w:val="24"/>
        </w:rPr>
        <w:t>)</w:t>
      </w:r>
      <w:r w:rsidR="005F2841" w:rsidRPr="00B943C3">
        <w:rPr>
          <w:rStyle w:val="normaltextrun"/>
          <w:rFonts w:ascii="Times New Roman" w:eastAsia="Times New Roman" w:hAnsi="Times New Roman" w:cs="Times New Roman"/>
          <w:sz w:val="24"/>
          <w:szCs w:val="24"/>
        </w:rPr>
        <w:t>:</w:t>
      </w:r>
      <w:r w:rsidR="00F161B4" w:rsidRPr="00B943C3">
        <w:rPr>
          <w:rStyle w:val="scxo207660072"/>
          <w:rFonts w:ascii="Times New Roman" w:eastAsia="Times New Roman" w:hAnsi="Times New Roman" w:cs="Times New Roman"/>
          <w:sz w:val="24"/>
          <w:szCs w:val="24"/>
        </w:rPr>
        <w:t> </w:t>
      </w:r>
    </w:p>
    <w:p w:rsidR="004F4BA0" w:rsidRPr="00E165FC" w:rsidRDefault="00FB2AA3" w:rsidP="00F161B4">
      <w:pPr>
        <w:rPr>
          <w:rStyle w:val="normaltextrun"/>
          <w:rFonts w:ascii="Times New Roman" w:eastAsia="Times New Roman" w:hAnsi="Times New Roman" w:cs="Times New Roman"/>
          <w:i/>
          <w:sz w:val="24"/>
          <w:szCs w:val="24"/>
        </w:rPr>
      </w:pPr>
      <w:r w:rsidRPr="00266BA7">
        <w:rPr>
          <w:rStyle w:val="normaltextrun"/>
          <w:rFonts w:ascii="Times New Roman" w:eastAsia="Times New Roman" w:hAnsi="Times New Roman" w:cs="Times New Roman"/>
          <w:i/>
          <w:sz w:val="24"/>
          <w:szCs w:val="24"/>
        </w:rPr>
        <w:t xml:space="preserve">Five out of twenty-four students in the 2020 cohort did not graduate in 2023 for an </w:t>
      </w:r>
      <w:r w:rsidR="00CE7E19" w:rsidRPr="00266BA7">
        <w:rPr>
          <w:rStyle w:val="normaltextrun"/>
          <w:rFonts w:ascii="Times New Roman" w:eastAsia="Times New Roman" w:hAnsi="Times New Roman" w:cs="Times New Roman"/>
          <w:i/>
          <w:sz w:val="24"/>
          <w:szCs w:val="24"/>
        </w:rPr>
        <w:t>80% completion rate. However, the five students off their timeline are still enrolled and will graduate within one or two semesters. Students stepped out for a variety of reasons including health, work, and family commitments.</w:t>
      </w:r>
    </w:p>
    <w:p w:rsidR="004F4BA0" w:rsidRDefault="004F4BA0" w:rsidP="00F161B4">
      <w:pPr>
        <w:rPr>
          <w:rStyle w:val="normaltextrun"/>
          <w:rFonts w:ascii="Times New Roman" w:eastAsia="Times New Roman" w:hAnsi="Times New Roman" w:cs="Times New Roman"/>
          <w:b/>
          <w:sz w:val="24"/>
          <w:szCs w:val="24"/>
        </w:rPr>
      </w:pPr>
    </w:p>
    <w:p w:rsidR="00F161B4" w:rsidRDefault="000B0A00" w:rsidP="00F161B4">
      <w:pPr>
        <w:rPr>
          <w:rStyle w:val="scxo207660072"/>
          <w:rFonts w:ascii="Times New Roman" w:eastAsia="Times New Roman" w:hAnsi="Times New Roman" w:cs="Times New Roman"/>
          <w:sz w:val="24"/>
          <w:szCs w:val="24"/>
        </w:rPr>
      </w:pPr>
      <w:r>
        <w:rPr>
          <w:rStyle w:val="normaltextrun"/>
          <w:rFonts w:ascii="Times New Roman" w:eastAsia="Times New Roman" w:hAnsi="Times New Roman" w:cs="Times New Roman"/>
          <w:b/>
          <w:sz w:val="24"/>
          <w:szCs w:val="24"/>
        </w:rPr>
        <w:t xml:space="preserve">V. </w:t>
      </w:r>
      <w:r w:rsidR="00F161B4" w:rsidRPr="00B943C3">
        <w:rPr>
          <w:rStyle w:val="normaltextrun"/>
          <w:rFonts w:ascii="Times New Roman" w:eastAsia="Times New Roman" w:hAnsi="Times New Roman" w:cs="Times New Roman"/>
          <w:b/>
          <w:sz w:val="24"/>
          <w:szCs w:val="24"/>
        </w:rPr>
        <w:t>Job placement rates</w:t>
      </w:r>
      <w:r w:rsidR="009F4EFC">
        <w:rPr>
          <w:rStyle w:val="normaltextrun"/>
          <w:rFonts w:ascii="Times New Roman" w:eastAsia="Times New Roman" w:hAnsi="Times New Roman" w:cs="Times New Roman"/>
          <w:sz w:val="24"/>
          <w:szCs w:val="24"/>
        </w:rPr>
        <w:t xml:space="preserve"> (graduating 2024</w:t>
      </w:r>
      <w:r w:rsidR="005F652F">
        <w:rPr>
          <w:rStyle w:val="normaltextrun"/>
          <w:rFonts w:ascii="Times New Roman" w:eastAsia="Times New Roman" w:hAnsi="Times New Roman" w:cs="Times New Roman"/>
          <w:sz w:val="24"/>
          <w:szCs w:val="24"/>
        </w:rPr>
        <w:t xml:space="preserve"> students</w:t>
      </w:r>
      <w:r w:rsidR="000F34B2" w:rsidRPr="00B943C3">
        <w:rPr>
          <w:rStyle w:val="normaltextrun"/>
          <w:rFonts w:ascii="Times New Roman" w:eastAsia="Times New Roman" w:hAnsi="Times New Roman" w:cs="Times New Roman"/>
          <w:sz w:val="24"/>
          <w:szCs w:val="24"/>
        </w:rPr>
        <w:t>)</w:t>
      </w:r>
      <w:r w:rsidR="005F2841" w:rsidRPr="00B943C3">
        <w:rPr>
          <w:rStyle w:val="normaltextrun"/>
          <w:rFonts w:ascii="Times New Roman" w:eastAsia="Times New Roman" w:hAnsi="Times New Roman" w:cs="Times New Roman"/>
          <w:sz w:val="24"/>
          <w:szCs w:val="24"/>
        </w:rPr>
        <w:t>:</w:t>
      </w:r>
      <w:r w:rsidR="00F161B4" w:rsidRPr="00B943C3">
        <w:rPr>
          <w:rStyle w:val="scxo207660072"/>
          <w:rFonts w:ascii="Times New Roman" w:eastAsia="Times New Roman" w:hAnsi="Times New Roman" w:cs="Times New Roman"/>
          <w:sz w:val="24"/>
          <w:szCs w:val="24"/>
        </w:rPr>
        <w:t> </w:t>
      </w:r>
    </w:p>
    <w:p w:rsidR="009B5163" w:rsidRPr="004E5BB7" w:rsidRDefault="009B5163" w:rsidP="00F161B4">
      <w:pPr>
        <w:rPr>
          <w:rStyle w:val="scxo207660072"/>
          <w:rFonts w:ascii="Times New Roman" w:eastAsia="Times New Roman" w:hAnsi="Times New Roman" w:cs="Times New Roman"/>
          <w:i/>
          <w:sz w:val="24"/>
          <w:szCs w:val="24"/>
        </w:rPr>
      </w:pPr>
      <w:r w:rsidRPr="004E5BB7">
        <w:rPr>
          <w:rStyle w:val="scxo207660072"/>
          <w:rFonts w:ascii="Times New Roman" w:eastAsia="Times New Roman" w:hAnsi="Times New Roman" w:cs="Times New Roman"/>
          <w:i/>
          <w:sz w:val="24"/>
          <w:szCs w:val="24"/>
        </w:rPr>
        <w:t xml:space="preserve">83% of students indicated they would be employed in a career related to their degree in the </w:t>
      </w:r>
      <w:r w:rsidR="004E5BB7" w:rsidRPr="004E5BB7">
        <w:rPr>
          <w:rStyle w:val="scxo207660072"/>
          <w:rFonts w:ascii="Times New Roman" w:eastAsia="Times New Roman" w:hAnsi="Times New Roman" w:cs="Times New Roman"/>
          <w:i/>
          <w:sz w:val="24"/>
          <w:szCs w:val="24"/>
        </w:rPr>
        <w:t>Master of Science</w:t>
      </w:r>
      <w:r w:rsidRPr="004E5BB7">
        <w:rPr>
          <w:rStyle w:val="scxo207660072"/>
          <w:rFonts w:ascii="Times New Roman" w:eastAsia="Times New Roman" w:hAnsi="Times New Roman" w:cs="Times New Roman"/>
          <w:i/>
          <w:sz w:val="24"/>
          <w:szCs w:val="24"/>
        </w:rPr>
        <w:t xml:space="preserve"> in Rehabilitation Counseling immediately after graduation, with an additional 8% indicating maybe.</w:t>
      </w:r>
    </w:p>
    <w:p w:rsidR="004E5BB7" w:rsidRDefault="004E5BB7" w:rsidP="00F161B4">
      <w:pPr>
        <w:rPr>
          <w:rStyle w:val="scxo207660072"/>
          <w:rFonts w:ascii="Times New Roman" w:eastAsia="Times New Roman" w:hAnsi="Times New Roman" w:cs="Times New Roman"/>
          <w:sz w:val="24"/>
          <w:szCs w:val="24"/>
        </w:rPr>
      </w:pPr>
    </w:p>
    <w:p w:rsidR="009B5163" w:rsidRDefault="009B5163" w:rsidP="009B5163">
      <w:pPr>
        <w:rPr>
          <w:rStyle w:val="normaltextrun"/>
          <w:rFonts w:ascii="Times New Roman" w:eastAsia="Times New Roman" w:hAnsi="Times New Roman" w:cs="Times New Roman"/>
          <w:b/>
          <w:sz w:val="24"/>
          <w:szCs w:val="24"/>
        </w:rPr>
      </w:pPr>
      <w:r>
        <w:rPr>
          <w:rStyle w:val="normaltextrun"/>
          <w:rFonts w:ascii="Times New Roman" w:eastAsia="Times New Roman" w:hAnsi="Times New Roman" w:cs="Times New Roman"/>
          <w:b/>
          <w:sz w:val="24"/>
          <w:szCs w:val="24"/>
        </w:rPr>
        <w:t xml:space="preserve">VI. </w:t>
      </w:r>
      <w:r>
        <w:rPr>
          <w:rStyle w:val="normaltextrun"/>
          <w:rFonts w:ascii="Times New Roman" w:eastAsia="Times New Roman" w:hAnsi="Times New Roman" w:cs="Times New Roman"/>
          <w:b/>
          <w:sz w:val="24"/>
          <w:szCs w:val="24"/>
        </w:rPr>
        <w:t xml:space="preserve">Cohort Demographics </w:t>
      </w:r>
    </w:p>
    <w:p w:rsidR="009B5163" w:rsidRDefault="009B5163" w:rsidP="00750601">
      <w:pPr>
        <w:rPr>
          <w:rStyle w:val="scxo207660072"/>
          <w:rFonts w:ascii="Times New Roman" w:eastAsia="Times New Roman" w:hAnsi="Times New Roman" w:cs="Times New Roman"/>
          <w:sz w:val="24"/>
          <w:szCs w:val="24"/>
        </w:rPr>
      </w:pPr>
    </w:p>
    <w:tbl>
      <w:tblPr>
        <w:tblStyle w:val="TableGrid"/>
        <w:tblpPr w:leftFromText="180" w:rightFromText="180" w:vertAnchor="page" w:horzAnchor="margin" w:tblpY="6433"/>
        <w:tblW w:w="0" w:type="auto"/>
        <w:tblLook w:val="04A0" w:firstRow="1" w:lastRow="0" w:firstColumn="1" w:lastColumn="0" w:noHBand="0" w:noVBand="1"/>
      </w:tblPr>
      <w:tblGrid>
        <w:gridCol w:w="2860"/>
        <w:gridCol w:w="2742"/>
        <w:gridCol w:w="2853"/>
      </w:tblGrid>
      <w:tr w:rsidR="004E5BB7" w:rsidTr="004E5BB7">
        <w:tc>
          <w:tcPr>
            <w:tcW w:w="8455" w:type="dxa"/>
            <w:gridSpan w:val="3"/>
            <w:vAlign w:val="center"/>
          </w:tcPr>
          <w:p w:rsidR="004E5BB7" w:rsidRDefault="004E5BB7" w:rsidP="004E5BB7">
            <w:r>
              <w:rPr>
                <w:rStyle w:val="normaltextrun"/>
                <w:rFonts w:ascii="Times New Roman" w:eastAsia="Times New Roman" w:hAnsi="Times New Roman" w:cs="Times New Roman"/>
                <w:sz w:val="24"/>
                <w:szCs w:val="24"/>
              </w:rPr>
              <w:t>Table 1. Demographics of Fall 2023 Entering Cohort (all counseling options)</w:t>
            </w:r>
          </w:p>
        </w:tc>
      </w:tr>
      <w:tr w:rsidR="004E5BB7" w:rsidTr="004E5BB7">
        <w:tc>
          <w:tcPr>
            <w:tcW w:w="2860" w:type="dxa"/>
          </w:tcPr>
          <w:p w:rsidR="004E5BB7" w:rsidRDefault="004E5BB7" w:rsidP="004E5BB7"/>
        </w:tc>
        <w:tc>
          <w:tcPr>
            <w:tcW w:w="2742" w:type="dxa"/>
            <w:vAlign w:val="center"/>
          </w:tcPr>
          <w:p w:rsidR="004E5BB7" w:rsidRDefault="004E5BB7" w:rsidP="004E5BB7">
            <w:pPr>
              <w:jc w:val="center"/>
            </w:pPr>
            <w:r>
              <w:t>Applied</w:t>
            </w:r>
          </w:p>
        </w:tc>
        <w:tc>
          <w:tcPr>
            <w:tcW w:w="2853" w:type="dxa"/>
            <w:vAlign w:val="center"/>
          </w:tcPr>
          <w:p w:rsidR="004E5BB7" w:rsidRDefault="004E5BB7" w:rsidP="004E5BB7">
            <w:pPr>
              <w:jc w:val="center"/>
            </w:pPr>
            <w:r>
              <w:t>Enrolled</w:t>
            </w:r>
          </w:p>
        </w:tc>
      </w:tr>
      <w:tr w:rsidR="004E5BB7" w:rsidTr="004E5BB7">
        <w:tc>
          <w:tcPr>
            <w:tcW w:w="2860" w:type="dxa"/>
          </w:tcPr>
          <w:p w:rsidR="004E5BB7" w:rsidRDefault="004E5BB7" w:rsidP="004E5BB7">
            <w:r>
              <w:t>Female</w:t>
            </w:r>
          </w:p>
        </w:tc>
        <w:tc>
          <w:tcPr>
            <w:tcW w:w="2742" w:type="dxa"/>
          </w:tcPr>
          <w:p w:rsidR="004E5BB7" w:rsidRDefault="004E5BB7" w:rsidP="004E5BB7">
            <w:pPr>
              <w:jc w:val="center"/>
            </w:pPr>
            <w:r>
              <w:t>77%</w:t>
            </w:r>
          </w:p>
        </w:tc>
        <w:tc>
          <w:tcPr>
            <w:tcW w:w="2853" w:type="dxa"/>
          </w:tcPr>
          <w:p w:rsidR="004E5BB7" w:rsidRDefault="004E5BB7" w:rsidP="004E5BB7">
            <w:pPr>
              <w:jc w:val="center"/>
            </w:pPr>
            <w:r>
              <w:t>80%</w:t>
            </w:r>
          </w:p>
        </w:tc>
      </w:tr>
      <w:tr w:rsidR="004E5BB7" w:rsidTr="004E5BB7">
        <w:tc>
          <w:tcPr>
            <w:tcW w:w="2860" w:type="dxa"/>
          </w:tcPr>
          <w:p w:rsidR="004E5BB7" w:rsidRDefault="004E5BB7" w:rsidP="004E5BB7">
            <w:r>
              <w:t>Male</w:t>
            </w:r>
          </w:p>
        </w:tc>
        <w:tc>
          <w:tcPr>
            <w:tcW w:w="2742" w:type="dxa"/>
          </w:tcPr>
          <w:p w:rsidR="004E5BB7" w:rsidRDefault="004E5BB7" w:rsidP="004E5BB7">
            <w:pPr>
              <w:jc w:val="center"/>
            </w:pPr>
            <w:r>
              <w:t>22%</w:t>
            </w:r>
          </w:p>
        </w:tc>
        <w:tc>
          <w:tcPr>
            <w:tcW w:w="2853" w:type="dxa"/>
          </w:tcPr>
          <w:p w:rsidR="004E5BB7" w:rsidRDefault="004E5BB7" w:rsidP="004E5BB7">
            <w:pPr>
              <w:jc w:val="center"/>
            </w:pPr>
            <w:r>
              <w:t>18%</w:t>
            </w:r>
          </w:p>
        </w:tc>
      </w:tr>
      <w:tr w:rsidR="004E5BB7" w:rsidTr="004E5BB7">
        <w:tc>
          <w:tcPr>
            <w:tcW w:w="2860" w:type="dxa"/>
          </w:tcPr>
          <w:p w:rsidR="004E5BB7" w:rsidRDefault="004E5BB7" w:rsidP="004E5BB7">
            <w:r>
              <w:t>URM</w:t>
            </w:r>
          </w:p>
        </w:tc>
        <w:tc>
          <w:tcPr>
            <w:tcW w:w="2742" w:type="dxa"/>
          </w:tcPr>
          <w:p w:rsidR="004E5BB7" w:rsidRDefault="004E5BB7" w:rsidP="004E5BB7">
            <w:pPr>
              <w:jc w:val="center"/>
            </w:pPr>
            <w:r>
              <w:t>66%</w:t>
            </w:r>
          </w:p>
        </w:tc>
        <w:tc>
          <w:tcPr>
            <w:tcW w:w="2853" w:type="dxa"/>
          </w:tcPr>
          <w:p w:rsidR="004E5BB7" w:rsidRDefault="004E5BB7" w:rsidP="004E5BB7">
            <w:pPr>
              <w:jc w:val="center"/>
            </w:pPr>
            <w:r>
              <w:t>79%</w:t>
            </w:r>
          </w:p>
        </w:tc>
      </w:tr>
      <w:tr w:rsidR="004E5BB7" w:rsidTr="004E5BB7">
        <w:tc>
          <w:tcPr>
            <w:tcW w:w="2860" w:type="dxa"/>
          </w:tcPr>
          <w:p w:rsidR="004E5BB7" w:rsidRDefault="004E5BB7" w:rsidP="004E5BB7">
            <w:r>
              <w:t>Non-URM</w:t>
            </w:r>
          </w:p>
        </w:tc>
        <w:tc>
          <w:tcPr>
            <w:tcW w:w="2742" w:type="dxa"/>
          </w:tcPr>
          <w:p w:rsidR="004E5BB7" w:rsidRDefault="004E5BB7" w:rsidP="004E5BB7">
            <w:pPr>
              <w:jc w:val="center"/>
            </w:pPr>
            <w:r>
              <w:t>33%</w:t>
            </w:r>
          </w:p>
        </w:tc>
        <w:tc>
          <w:tcPr>
            <w:tcW w:w="2853" w:type="dxa"/>
          </w:tcPr>
          <w:p w:rsidR="004E5BB7" w:rsidRDefault="004E5BB7" w:rsidP="004E5BB7">
            <w:pPr>
              <w:jc w:val="center"/>
            </w:pPr>
            <w:r>
              <w:t>20%</w:t>
            </w:r>
          </w:p>
        </w:tc>
      </w:tr>
      <w:tr w:rsidR="004E5BB7" w:rsidTr="004E5BB7">
        <w:tc>
          <w:tcPr>
            <w:tcW w:w="2860" w:type="dxa"/>
          </w:tcPr>
          <w:p w:rsidR="004E5BB7" w:rsidRDefault="004E5BB7" w:rsidP="004E5BB7">
            <w:r>
              <w:t>First Generation</w:t>
            </w:r>
          </w:p>
        </w:tc>
        <w:tc>
          <w:tcPr>
            <w:tcW w:w="2742" w:type="dxa"/>
          </w:tcPr>
          <w:p w:rsidR="004E5BB7" w:rsidRDefault="004E5BB7" w:rsidP="004E5BB7">
            <w:pPr>
              <w:jc w:val="center"/>
            </w:pPr>
            <w:r>
              <w:t>46%</w:t>
            </w:r>
          </w:p>
        </w:tc>
        <w:tc>
          <w:tcPr>
            <w:tcW w:w="2853" w:type="dxa"/>
          </w:tcPr>
          <w:p w:rsidR="004E5BB7" w:rsidRDefault="004E5BB7" w:rsidP="004E5BB7">
            <w:pPr>
              <w:jc w:val="center"/>
            </w:pPr>
            <w:r>
              <w:t>60%</w:t>
            </w:r>
          </w:p>
        </w:tc>
      </w:tr>
      <w:tr w:rsidR="004E5BB7" w:rsidTr="004E5BB7">
        <w:tc>
          <w:tcPr>
            <w:tcW w:w="2860" w:type="dxa"/>
          </w:tcPr>
          <w:p w:rsidR="004E5BB7" w:rsidRDefault="004E5BB7" w:rsidP="004E5BB7">
            <w:r>
              <w:t>Parent Graduated College</w:t>
            </w:r>
          </w:p>
        </w:tc>
        <w:tc>
          <w:tcPr>
            <w:tcW w:w="2742" w:type="dxa"/>
          </w:tcPr>
          <w:p w:rsidR="004E5BB7" w:rsidRDefault="004E5BB7" w:rsidP="004E5BB7">
            <w:pPr>
              <w:jc w:val="center"/>
            </w:pPr>
            <w:r>
              <w:t>28%</w:t>
            </w:r>
          </w:p>
        </w:tc>
        <w:tc>
          <w:tcPr>
            <w:tcW w:w="2853" w:type="dxa"/>
          </w:tcPr>
          <w:p w:rsidR="004E5BB7" w:rsidRDefault="004E5BB7" w:rsidP="004E5BB7">
            <w:pPr>
              <w:jc w:val="center"/>
            </w:pPr>
            <w:r>
              <w:t>20%</w:t>
            </w:r>
          </w:p>
        </w:tc>
      </w:tr>
    </w:tbl>
    <w:p w:rsidR="009B5163" w:rsidRDefault="009B5163" w:rsidP="00750601">
      <w:pPr>
        <w:rPr>
          <w:rStyle w:val="normaltextrun"/>
          <w:rFonts w:ascii="Times New Roman" w:eastAsia="Times New Roman" w:hAnsi="Times New Roman" w:cs="Times New Roman"/>
          <w:b/>
          <w:sz w:val="24"/>
          <w:szCs w:val="24"/>
        </w:rPr>
      </w:pPr>
    </w:p>
    <w:p w:rsidR="009B5163" w:rsidRDefault="009B5163" w:rsidP="00750601">
      <w:pPr>
        <w:rPr>
          <w:rStyle w:val="normaltextrun"/>
          <w:rFonts w:ascii="Times New Roman" w:eastAsia="Times New Roman" w:hAnsi="Times New Roman" w:cs="Times New Roman"/>
          <w:b/>
          <w:sz w:val="24"/>
          <w:szCs w:val="24"/>
        </w:rPr>
      </w:pPr>
    </w:p>
    <w:p w:rsidR="00750601" w:rsidRDefault="00750601" w:rsidP="00750601">
      <w:pPr>
        <w:rPr>
          <w:rStyle w:val="normaltextrun"/>
          <w:rFonts w:ascii="Times New Roman" w:eastAsia="Times New Roman" w:hAnsi="Times New Roman" w:cs="Times New Roman"/>
          <w:b/>
          <w:sz w:val="24"/>
          <w:szCs w:val="24"/>
        </w:rPr>
      </w:pPr>
    </w:p>
    <w:p w:rsidR="00E165FC" w:rsidRDefault="00E165FC" w:rsidP="00750601">
      <w:pPr>
        <w:rPr>
          <w:rStyle w:val="normaltextrun"/>
          <w:rFonts w:ascii="Times New Roman" w:eastAsia="Times New Roman" w:hAnsi="Times New Roman" w:cs="Times New Roman"/>
          <w:sz w:val="24"/>
          <w:szCs w:val="24"/>
        </w:rPr>
      </w:pPr>
    </w:p>
    <w:p w:rsidR="00542E70" w:rsidRDefault="00542E70" w:rsidP="00750601">
      <w:pPr>
        <w:rPr>
          <w:rStyle w:val="normaltextrun"/>
          <w:rFonts w:ascii="Times New Roman" w:eastAsia="Times New Roman" w:hAnsi="Times New Roman" w:cs="Times New Roman"/>
          <w:sz w:val="24"/>
          <w:szCs w:val="24"/>
        </w:rPr>
      </w:pPr>
    </w:p>
    <w:p w:rsidR="000B0A00" w:rsidRPr="000B0A00" w:rsidRDefault="000B0A00" w:rsidP="00750601">
      <w:pPr>
        <w:rPr>
          <w:rStyle w:val="normaltextrun"/>
          <w:rFonts w:ascii="Times New Roman" w:eastAsia="Times New Roman" w:hAnsi="Times New Roman" w:cs="Times New Roman"/>
          <w:sz w:val="24"/>
          <w:szCs w:val="24"/>
        </w:rPr>
      </w:pPr>
    </w:p>
    <w:tbl>
      <w:tblPr>
        <w:tblStyle w:val="TableGrid"/>
        <w:tblpPr w:leftFromText="180" w:rightFromText="180" w:vertAnchor="text" w:horzAnchor="margin" w:tblpY="80"/>
        <w:tblW w:w="0" w:type="auto"/>
        <w:tblLook w:val="04A0" w:firstRow="1" w:lastRow="0" w:firstColumn="1" w:lastColumn="0" w:noHBand="0" w:noVBand="1"/>
      </w:tblPr>
      <w:tblGrid>
        <w:gridCol w:w="2920"/>
        <w:gridCol w:w="5576"/>
      </w:tblGrid>
      <w:tr w:rsidR="009B5163" w:rsidTr="009B5163">
        <w:trPr>
          <w:trHeight w:val="277"/>
        </w:trPr>
        <w:tc>
          <w:tcPr>
            <w:tcW w:w="8496" w:type="dxa"/>
            <w:gridSpan w:val="2"/>
          </w:tcPr>
          <w:p w:rsidR="009B5163" w:rsidRPr="00F5586D" w:rsidRDefault="009B5163" w:rsidP="009B5163">
            <w:pPr>
              <w:rPr>
                <w:rStyle w:val="normaltextrun"/>
                <w:rFonts w:ascii="Times New Roman" w:eastAsia="Times New Roman" w:hAnsi="Times New Roman" w:cs="Times New Roman"/>
                <w:sz w:val="24"/>
                <w:szCs w:val="24"/>
              </w:rPr>
            </w:pPr>
            <w:r w:rsidRPr="00F5586D">
              <w:rPr>
                <w:rStyle w:val="normaltextrun"/>
                <w:rFonts w:ascii="Times New Roman" w:eastAsia="Times New Roman" w:hAnsi="Times New Roman" w:cs="Times New Roman"/>
                <w:sz w:val="24"/>
                <w:szCs w:val="24"/>
              </w:rPr>
              <w:t>Table 2.</w:t>
            </w:r>
            <w:bookmarkStart w:id="0" w:name="_GoBack"/>
            <w:bookmarkEnd w:id="0"/>
            <w:r w:rsidRPr="00F5586D">
              <w:rPr>
                <w:rStyle w:val="normaltextrun"/>
                <w:rFonts w:ascii="Times New Roman" w:eastAsia="Times New Roman" w:hAnsi="Times New Roman" w:cs="Times New Roman"/>
                <w:sz w:val="24"/>
                <w:szCs w:val="24"/>
              </w:rPr>
              <w:t xml:space="preserve"> Demographics of Fall 2023 Graduating Cohort</w:t>
            </w:r>
            <w:r>
              <w:rPr>
                <w:rStyle w:val="normaltextrun"/>
                <w:rFonts w:ascii="Times New Roman" w:eastAsia="Times New Roman" w:hAnsi="Times New Roman" w:cs="Times New Roman"/>
                <w:sz w:val="24"/>
                <w:szCs w:val="24"/>
              </w:rPr>
              <w:t>*</w:t>
            </w:r>
          </w:p>
        </w:tc>
      </w:tr>
      <w:tr w:rsidR="009B5163" w:rsidTr="009B5163">
        <w:trPr>
          <w:trHeight w:val="265"/>
        </w:trPr>
        <w:tc>
          <w:tcPr>
            <w:tcW w:w="2920" w:type="dxa"/>
          </w:tcPr>
          <w:p w:rsidR="009B5163" w:rsidRPr="00F5586D" w:rsidRDefault="009B5163" w:rsidP="009B5163">
            <w:pPr>
              <w:rPr>
                <w:rFonts w:ascii="Times New Roman" w:hAnsi="Times New Roman" w:cs="Times New Roman"/>
                <w:sz w:val="24"/>
                <w:szCs w:val="24"/>
              </w:rPr>
            </w:pPr>
            <w:r w:rsidRPr="00F5586D">
              <w:rPr>
                <w:rFonts w:ascii="Times New Roman" w:hAnsi="Times New Roman" w:cs="Times New Roman"/>
                <w:sz w:val="24"/>
                <w:szCs w:val="24"/>
              </w:rPr>
              <w:t>Female</w:t>
            </w:r>
          </w:p>
        </w:tc>
        <w:tc>
          <w:tcPr>
            <w:tcW w:w="5576" w:type="dxa"/>
          </w:tcPr>
          <w:p w:rsidR="009B5163" w:rsidRPr="00F5586D" w:rsidRDefault="009B5163" w:rsidP="009B5163">
            <w:pPr>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62%</w:t>
            </w:r>
          </w:p>
        </w:tc>
      </w:tr>
      <w:tr w:rsidR="009B5163" w:rsidTr="009B5163">
        <w:trPr>
          <w:trHeight w:val="277"/>
        </w:trPr>
        <w:tc>
          <w:tcPr>
            <w:tcW w:w="2920" w:type="dxa"/>
          </w:tcPr>
          <w:p w:rsidR="009B5163" w:rsidRPr="00F5586D" w:rsidRDefault="009B5163" w:rsidP="009B5163">
            <w:pPr>
              <w:rPr>
                <w:rFonts w:ascii="Times New Roman" w:hAnsi="Times New Roman" w:cs="Times New Roman"/>
                <w:sz w:val="24"/>
                <w:szCs w:val="24"/>
              </w:rPr>
            </w:pPr>
            <w:r w:rsidRPr="00F5586D">
              <w:rPr>
                <w:rFonts w:ascii="Times New Roman" w:hAnsi="Times New Roman" w:cs="Times New Roman"/>
                <w:sz w:val="24"/>
                <w:szCs w:val="24"/>
              </w:rPr>
              <w:t>Male</w:t>
            </w:r>
          </w:p>
        </w:tc>
        <w:tc>
          <w:tcPr>
            <w:tcW w:w="5576" w:type="dxa"/>
          </w:tcPr>
          <w:p w:rsidR="009B5163" w:rsidRPr="00F5586D" w:rsidRDefault="009B5163" w:rsidP="009B5163">
            <w:pPr>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38%</w:t>
            </w:r>
          </w:p>
        </w:tc>
      </w:tr>
      <w:tr w:rsidR="009B5163" w:rsidTr="009B5163">
        <w:trPr>
          <w:trHeight w:val="277"/>
        </w:trPr>
        <w:tc>
          <w:tcPr>
            <w:tcW w:w="2920" w:type="dxa"/>
          </w:tcPr>
          <w:p w:rsidR="009B5163" w:rsidRPr="00F5586D" w:rsidRDefault="009B5163" w:rsidP="009B5163">
            <w:pPr>
              <w:rPr>
                <w:rFonts w:ascii="Times New Roman" w:hAnsi="Times New Roman" w:cs="Times New Roman"/>
                <w:sz w:val="24"/>
                <w:szCs w:val="24"/>
              </w:rPr>
            </w:pPr>
            <w:r w:rsidRPr="00F5586D">
              <w:rPr>
                <w:rFonts w:ascii="Times New Roman" w:hAnsi="Times New Roman" w:cs="Times New Roman"/>
                <w:sz w:val="24"/>
                <w:szCs w:val="24"/>
              </w:rPr>
              <w:t>URM</w:t>
            </w:r>
          </w:p>
        </w:tc>
        <w:tc>
          <w:tcPr>
            <w:tcW w:w="5576" w:type="dxa"/>
          </w:tcPr>
          <w:p w:rsidR="009B5163" w:rsidRPr="00F5586D" w:rsidRDefault="009B5163" w:rsidP="009B5163">
            <w:pPr>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100%</w:t>
            </w:r>
          </w:p>
        </w:tc>
      </w:tr>
      <w:tr w:rsidR="009B5163" w:rsidTr="009B5163">
        <w:trPr>
          <w:trHeight w:val="277"/>
        </w:trPr>
        <w:tc>
          <w:tcPr>
            <w:tcW w:w="2920" w:type="dxa"/>
          </w:tcPr>
          <w:p w:rsidR="009B5163" w:rsidRPr="00F5586D" w:rsidRDefault="009B5163" w:rsidP="009B5163">
            <w:pPr>
              <w:rPr>
                <w:rFonts w:ascii="Times New Roman" w:hAnsi="Times New Roman" w:cs="Times New Roman"/>
                <w:sz w:val="24"/>
                <w:szCs w:val="24"/>
              </w:rPr>
            </w:pPr>
            <w:r w:rsidRPr="00F5586D">
              <w:rPr>
                <w:rFonts w:ascii="Times New Roman" w:hAnsi="Times New Roman" w:cs="Times New Roman"/>
                <w:sz w:val="24"/>
                <w:szCs w:val="24"/>
              </w:rPr>
              <w:t>Non-URM</w:t>
            </w:r>
          </w:p>
        </w:tc>
        <w:tc>
          <w:tcPr>
            <w:tcW w:w="5576" w:type="dxa"/>
          </w:tcPr>
          <w:p w:rsidR="009B5163" w:rsidRPr="00F5586D" w:rsidRDefault="009B5163" w:rsidP="009B5163">
            <w:pPr>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0%</w:t>
            </w:r>
          </w:p>
        </w:tc>
      </w:tr>
      <w:tr w:rsidR="009B5163" w:rsidTr="009B5163">
        <w:trPr>
          <w:trHeight w:val="277"/>
        </w:trPr>
        <w:tc>
          <w:tcPr>
            <w:tcW w:w="2920" w:type="dxa"/>
          </w:tcPr>
          <w:p w:rsidR="009B5163" w:rsidRPr="00F5586D" w:rsidRDefault="009B5163" w:rsidP="009B5163">
            <w:pPr>
              <w:rPr>
                <w:rFonts w:ascii="Times New Roman" w:hAnsi="Times New Roman" w:cs="Times New Roman"/>
                <w:sz w:val="24"/>
                <w:szCs w:val="24"/>
              </w:rPr>
            </w:pPr>
            <w:r w:rsidRPr="00F5586D">
              <w:rPr>
                <w:rFonts w:ascii="Times New Roman" w:hAnsi="Times New Roman" w:cs="Times New Roman"/>
                <w:sz w:val="24"/>
                <w:szCs w:val="24"/>
              </w:rPr>
              <w:t>First Generation</w:t>
            </w:r>
          </w:p>
        </w:tc>
        <w:tc>
          <w:tcPr>
            <w:tcW w:w="5576" w:type="dxa"/>
          </w:tcPr>
          <w:p w:rsidR="009B5163" w:rsidRPr="00F5586D" w:rsidRDefault="009B5163" w:rsidP="009B5163">
            <w:pPr>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85%</w:t>
            </w:r>
          </w:p>
        </w:tc>
      </w:tr>
      <w:tr w:rsidR="009B5163" w:rsidTr="009B5163">
        <w:trPr>
          <w:trHeight w:val="265"/>
        </w:trPr>
        <w:tc>
          <w:tcPr>
            <w:tcW w:w="2920" w:type="dxa"/>
          </w:tcPr>
          <w:p w:rsidR="009B5163" w:rsidRPr="00F5586D" w:rsidRDefault="009B5163" w:rsidP="009B5163">
            <w:pPr>
              <w:rPr>
                <w:rFonts w:ascii="Times New Roman" w:hAnsi="Times New Roman" w:cs="Times New Roman"/>
                <w:sz w:val="24"/>
                <w:szCs w:val="24"/>
              </w:rPr>
            </w:pPr>
            <w:r w:rsidRPr="00F5586D">
              <w:rPr>
                <w:rFonts w:ascii="Times New Roman" w:hAnsi="Times New Roman" w:cs="Times New Roman"/>
                <w:sz w:val="24"/>
                <w:szCs w:val="24"/>
              </w:rPr>
              <w:t>Parent Graduated College</w:t>
            </w:r>
          </w:p>
        </w:tc>
        <w:tc>
          <w:tcPr>
            <w:tcW w:w="5576" w:type="dxa"/>
          </w:tcPr>
          <w:p w:rsidR="009B5163" w:rsidRPr="00F5586D" w:rsidRDefault="009B5163" w:rsidP="009B5163">
            <w:pPr>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15%</w:t>
            </w:r>
          </w:p>
        </w:tc>
      </w:tr>
      <w:tr w:rsidR="009B5163" w:rsidTr="009B5163">
        <w:trPr>
          <w:trHeight w:val="265"/>
        </w:trPr>
        <w:tc>
          <w:tcPr>
            <w:tcW w:w="8496" w:type="dxa"/>
            <w:gridSpan w:val="2"/>
          </w:tcPr>
          <w:p w:rsidR="009B5163" w:rsidRPr="00F5586D" w:rsidRDefault="009B5163" w:rsidP="009B5163">
            <w:pPr>
              <w:rPr>
                <w:rStyle w:val="normaltextrun"/>
                <w:rFonts w:ascii="Times New Roman" w:eastAsia="Times New Roman" w:hAnsi="Times New Roman" w:cs="Times New Roman"/>
                <w:sz w:val="24"/>
                <w:szCs w:val="24"/>
              </w:rPr>
            </w:pPr>
            <w:r>
              <w:rPr>
                <w:rFonts w:ascii="Calibri" w:hAnsi="Calibri" w:cs="Calibri"/>
                <w:color w:val="000000"/>
                <w:lang w:eastAsia="en-US"/>
              </w:rPr>
              <w:t>*Includes students graduating in 2024 regardless of year of entry.</w:t>
            </w:r>
          </w:p>
        </w:tc>
      </w:tr>
    </w:tbl>
    <w:p w:rsidR="000B0A00" w:rsidRDefault="000B0A00" w:rsidP="00750601">
      <w:pPr>
        <w:rPr>
          <w:rStyle w:val="normaltextrun"/>
          <w:rFonts w:ascii="Times New Roman" w:eastAsia="Times New Roman" w:hAnsi="Times New Roman" w:cs="Times New Roman"/>
          <w:sz w:val="24"/>
          <w:szCs w:val="24"/>
        </w:rPr>
      </w:pPr>
    </w:p>
    <w:p w:rsidR="001F5EB0" w:rsidRDefault="001F5EB0" w:rsidP="00750601">
      <w:pPr>
        <w:rPr>
          <w:rStyle w:val="normaltextrun"/>
          <w:rFonts w:ascii="Times New Roman" w:eastAsia="Times New Roman" w:hAnsi="Times New Roman" w:cs="Times New Roman"/>
          <w:sz w:val="24"/>
          <w:szCs w:val="24"/>
        </w:rPr>
      </w:pPr>
    </w:p>
    <w:p w:rsidR="001F5EB0" w:rsidRDefault="001F5EB0" w:rsidP="00750601">
      <w:pPr>
        <w:rPr>
          <w:rStyle w:val="normaltextrun"/>
          <w:rFonts w:ascii="Times New Roman" w:eastAsia="Times New Roman" w:hAnsi="Times New Roman" w:cs="Times New Roman"/>
          <w:sz w:val="24"/>
          <w:szCs w:val="24"/>
        </w:rPr>
      </w:pPr>
    </w:p>
    <w:sectPr w:rsidR="001F5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731"/>
    <w:rsid w:val="0001535E"/>
    <w:rsid w:val="0002796F"/>
    <w:rsid w:val="000B0A00"/>
    <w:rsid w:val="000F34B2"/>
    <w:rsid w:val="001B26C1"/>
    <w:rsid w:val="001C2279"/>
    <w:rsid w:val="001F5EB0"/>
    <w:rsid w:val="00214731"/>
    <w:rsid w:val="00266BA7"/>
    <w:rsid w:val="0032163D"/>
    <w:rsid w:val="00474239"/>
    <w:rsid w:val="004857F8"/>
    <w:rsid w:val="00486B52"/>
    <w:rsid w:val="004A1C25"/>
    <w:rsid w:val="004E5BB7"/>
    <w:rsid w:val="004F4BA0"/>
    <w:rsid w:val="00542E70"/>
    <w:rsid w:val="005F2841"/>
    <w:rsid w:val="005F652F"/>
    <w:rsid w:val="006A7203"/>
    <w:rsid w:val="006D1345"/>
    <w:rsid w:val="006E687E"/>
    <w:rsid w:val="00742213"/>
    <w:rsid w:val="00750601"/>
    <w:rsid w:val="007C2BFD"/>
    <w:rsid w:val="0087249B"/>
    <w:rsid w:val="00884C42"/>
    <w:rsid w:val="008E26E9"/>
    <w:rsid w:val="00907991"/>
    <w:rsid w:val="009847A7"/>
    <w:rsid w:val="0098619C"/>
    <w:rsid w:val="009B5163"/>
    <w:rsid w:val="009C67B8"/>
    <w:rsid w:val="009F4EFC"/>
    <w:rsid w:val="00AD4D75"/>
    <w:rsid w:val="00B026AF"/>
    <w:rsid w:val="00B235E9"/>
    <w:rsid w:val="00B943C3"/>
    <w:rsid w:val="00C16CE5"/>
    <w:rsid w:val="00CE2079"/>
    <w:rsid w:val="00CE7E19"/>
    <w:rsid w:val="00D933E0"/>
    <w:rsid w:val="00DE4C41"/>
    <w:rsid w:val="00E146B6"/>
    <w:rsid w:val="00E165FC"/>
    <w:rsid w:val="00E73BAB"/>
    <w:rsid w:val="00ED17CA"/>
    <w:rsid w:val="00ED25F5"/>
    <w:rsid w:val="00F161B4"/>
    <w:rsid w:val="00F5586D"/>
    <w:rsid w:val="00FB2AA3"/>
    <w:rsid w:val="00FD3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A4883"/>
  <w15:chartTrackingRefBased/>
  <w15:docId w15:val="{111D5BFC-090C-43E4-AFE7-7F350A1F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A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161B4"/>
  </w:style>
  <w:style w:type="character" w:customStyle="1" w:styleId="scxo207660072">
    <w:name w:val="scxo207660072"/>
    <w:basedOn w:val="DefaultParagraphFont"/>
    <w:rsid w:val="00F161B4"/>
  </w:style>
  <w:style w:type="table" w:styleId="TableGrid">
    <w:name w:val="Table Grid"/>
    <w:basedOn w:val="TableNormal"/>
    <w:uiPriority w:val="39"/>
    <w:rsid w:val="00FB2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036115">
      <w:bodyDiv w:val="1"/>
      <w:marLeft w:val="0"/>
      <w:marRight w:val="0"/>
      <w:marTop w:val="0"/>
      <w:marBottom w:val="0"/>
      <w:divBdr>
        <w:top w:val="none" w:sz="0" w:space="0" w:color="auto"/>
        <w:left w:val="none" w:sz="0" w:space="0" w:color="auto"/>
        <w:bottom w:val="none" w:sz="0" w:space="0" w:color="auto"/>
        <w:right w:val="none" w:sz="0" w:space="0" w:color="auto"/>
      </w:divBdr>
    </w:div>
    <w:div w:id="1453940143">
      <w:bodyDiv w:val="1"/>
      <w:marLeft w:val="0"/>
      <w:marRight w:val="0"/>
      <w:marTop w:val="0"/>
      <w:marBottom w:val="0"/>
      <w:divBdr>
        <w:top w:val="none" w:sz="0" w:space="0" w:color="auto"/>
        <w:left w:val="none" w:sz="0" w:space="0" w:color="auto"/>
        <w:bottom w:val="none" w:sz="0" w:space="0" w:color="auto"/>
        <w:right w:val="none" w:sz="0" w:space="0" w:color="auto"/>
      </w:divBdr>
    </w:div>
    <w:div w:id="148458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Menzies, Holly M</dc:creator>
  <cp:keywords/>
  <dc:description/>
  <cp:lastModifiedBy>Menzies, Holly M</cp:lastModifiedBy>
  <cp:revision>44</cp:revision>
  <dcterms:created xsi:type="dcterms:W3CDTF">2024-03-19T17:54:00Z</dcterms:created>
  <dcterms:modified xsi:type="dcterms:W3CDTF">2024-04-29T15:06:00Z</dcterms:modified>
</cp:coreProperties>
</file>